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wrap="auto" w:vAnchor="margin" w:hAnchor="text" w:yAlign="inline"/>
        <w:spacing w:line="640" w:lineRule="exact"/>
        <w:rPr>
          <w:rFonts w:ascii="黑体" w:hAnsi="黑体" w:eastAsia="黑体" w:cs="黑体"/>
          <w:outline w:val="0"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kern w:val="0"/>
          <w:sz w:val="30"/>
          <w:szCs w:val="30"/>
          <w:u w:color="000000"/>
          <w:rtl w:val="0"/>
          <w:lang w:val="zh-TW" w:eastAsia="zh-TW"/>
        </w:rPr>
        <w:t>供参考</w:t>
      </w:r>
    </w:p>
    <w:p>
      <w:pPr>
        <w:pStyle w:val="9"/>
        <w:framePr w:w="0" w:wrap="auto" w:vAnchor="margin" w:hAnchor="text" w:yAlign="inline"/>
        <w:spacing w:line="640" w:lineRule="exact"/>
        <w:jc w:val="center"/>
        <w:rPr>
          <w:rFonts w:ascii="黑体" w:hAnsi="黑体" w:eastAsia="黑体" w:cs="黑体"/>
          <w:b/>
          <w:bCs/>
          <w:outline w:val="0"/>
          <w:color w:val="000000"/>
          <w:kern w:val="0"/>
          <w:sz w:val="36"/>
          <w:szCs w:val="36"/>
          <w:u w:color="000000"/>
          <w:lang w:val="zh-TW" w:eastAsia="zh-TW"/>
        </w:rPr>
      </w:pPr>
      <w:r>
        <w:rPr>
          <w:rFonts w:ascii="黑体" w:hAnsi="黑体" w:eastAsia="黑体" w:cs="黑体"/>
          <w:b/>
          <w:bCs/>
          <w:outline w:val="0"/>
          <w:color w:val="000000"/>
          <w:kern w:val="0"/>
          <w:sz w:val="36"/>
          <w:szCs w:val="36"/>
          <w:u w:color="000000"/>
          <w:rtl w:val="0"/>
          <w:lang w:val="zh-TW" w:eastAsia="zh-TW"/>
        </w:rPr>
        <w:t>起诉状</w:t>
      </w: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原告：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住所地：海南省三亚市吉阳镇亚龙大道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法定代表人：张三。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被告：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天津月亮投资发展有限公司</w:t>
      </w:r>
      <w:bookmarkEnd w:id="0"/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住所地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：海南省三亚市吉阳区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>101号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</w:rPr>
        <w:t>。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法定代表人：李明。</w:t>
      </w: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诉讼请求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：</w:t>
      </w:r>
    </w:p>
    <w:p>
      <w:pPr>
        <w:pStyle w:val="9"/>
        <w:framePr w:w="0" w:wrap="auto" w:vAnchor="margin" w:hAnchor="text" w:yAlign="inline"/>
        <w:spacing w:line="640" w:lineRule="exact"/>
        <w:ind w:firstLine="560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auto"/>
          <w:lang w:val="en-US" w:eastAsia="zh-CN" w:bidi="ar-SA"/>
        </w:rPr>
        <w:t>判令被告向原告支付修复游艇码头的全部费用1000万元及利息；</w:t>
      </w:r>
    </w:p>
    <w:p>
      <w:pPr>
        <w:pStyle w:val="9"/>
        <w:framePr w:w="0" w:wrap="auto" w:vAnchor="margin" w:hAnchor="text" w:yAlign="inline"/>
        <w:spacing w:line="640" w:lineRule="exact"/>
        <w:ind w:firstLine="570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2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、本案诉讼费用由被告承担。</w:t>
      </w: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事实和理由：</w:t>
      </w:r>
    </w:p>
    <w:p>
      <w:pPr>
        <w:pStyle w:val="9"/>
        <w:framePr w:w="0" w:wrap="auto" w:vAnchor="margin" w:hAnchor="text" w:yAlign="inline"/>
        <w:spacing w:line="640" w:lineRule="exact"/>
        <w:ind w:firstLine="560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auto"/>
          <w:lang w:val="en-US" w:eastAsia="zh-CN" w:bidi="ar-SA"/>
        </w:rPr>
        <w:t>2017年8月21日，原、被告签订《租赁合同》（编号为：HB-2017-1002）和《补充协议》（编号为：HB-2017-（补）-1002），约定由被告承租原告的游艇码头、灯塔及其他附属设施，用于被告开展游艇会相关业务。双方于2017年8月30日完成交接工作，被告于2017年9月1日开始经营。上述合同履行过程中，被告具有如下违约情形，应承担相应法律责任：被告应依合同约定承担修复游艇码头全部费用。原、被告双方解除《租赁合同》后，双方于2018年8月1日办理资产交还手续并进行现场清点时发现378米防波堤严重塌陷，且出现扭王字块缺失、木制平台及桩柱出现局部损坏、南岸码头部分设施设备及浮体码头出现不同程度损坏，《盘点清单》对此明确注明。为此，原告向本院提起诉讼。</w:t>
      </w:r>
    </w:p>
    <w:p>
      <w:pPr>
        <w:pStyle w:val="9"/>
        <w:framePr w:w="0" w:wrap="auto" w:vAnchor="margin" w:hAnchor="text" w:yAlign="inline"/>
        <w:spacing w:line="640" w:lineRule="exact"/>
        <w:ind w:firstLine="560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此致</w:t>
      </w:r>
    </w:p>
    <w:p>
      <w:pPr>
        <w:pStyle w:val="9"/>
        <w:framePr w:w="0" w:wrap="auto" w:vAnchor="margin" w:hAnchor="text" w:yAlign="inline"/>
        <w:spacing w:line="640" w:lineRule="exact"/>
        <w:jc w:val="lef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海事法院</w:t>
      </w:r>
    </w:p>
    <w:p>
      <w:pPr>
        <w:pStyle w:val="9"/>
        <w:framePr w:w="0" w:wrap="auto" w:vAnchor="margin" w:hAnchor="text" w:yAlign="inline"/>
        <w:spacing w:line="640" w:lineRule="exact"/>
        <w:rPr>
          <w:rFonts w:ascii="宋体" w:hAnsi="宋体" w:eastAsia="宋体" w:cs="宋体"/>
          <w:sz w:val="28"/>
          <w:szCs w:val="28"/>
        </w:rPr>
      </w:pPr>
    </w:p>
    <w:p>
      <w:pPr>
        <w:pStyle w:val="9"/>
        <w:framePr w:w="0" w:wrap="auto" w:vAnchor="margin" w:hAnchor="text" w:yAlign="inline"/>
        <w:spacing w:line="640" w:lineRule="exact"/>
        <w:rPr>
          <w:rFonts w:ascii="宋体" w:hAnsi="宋体" w:eastAsia="宋体" w:cs="宋体"/>
          <w:sz w:val="28"/>
          <w:szCs w:val="28"/>
        </w:rPr>
      </w:pPr>
    </w:p>
    <w:p>
      <w:pPr>
        <w:pStyle w:val="9"/>
        <w:framePr w:w="0" w:wrap="auto" w:vAnchor="margin" w:hAnchor="text" w:yAlign="inline"/>
        <w:spacing w:line="640" w:lineRule="exact"/>
        <w:jc w:val="righ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具状人：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</w:p>
    <w:p>
      <w:pPr>
        <w:pStyle w:val="9"/>
        <w:framePr w:w="0" w:wrap="auto" w:vAnchor="margin" w:hAnchor="text" w:yAlign="inline"/>
        <w:spacing w:line="640" w:lineRule="exact"/>
        <w:ind w:right="980"/>
        <w:jc w:val="right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年四月一日</w:t>
      </w:r>
    </w:p>
    <w:p>
      <w:pPr>
        <w:pStyle w:val="9"/>
        <w:framePr w:w="0" w:wrap="auto" w:vAnchor="margin" w:hAnchor="text" w:yAlign="inline"/>
        <w:spacing w:line="640" w:lineRule="exact"/>
      </w:pPr>
    </w:p>
    <w:sectPr>
      <w:headerReference r:id="rId3" w:type="default"/>
      <w:footerReference r:id="rId4" w:type="default"/>
      <w:pgSz w:w="11900" w:h="16840"/>
      <w:pgMar w:top="1928" w:right="1361" w:bottom="1701" w:left="1814" w:header="851" w:footer="17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jc w:val="both"/>
    </w:pPr>
    <w:r>
      <w:rPr>
        <w:rFonts w:ascii="仿宋_GB2312" w:hAnsi="仿宋_GB2312" w:eastAsia="仿宋_GB2312" w:cs="仿宋_GB2312"/>
        <w:sz w:val="28"/>
        <w:szCs w:val="28"/>
        <w:rtl w:val="0"/>
        <w:lang w:val="en-US"/>
      </w:rPr>
      <w:t xml:space="preserve">— </w:t>
    </w:r>
    <w:r>
      <w:rPr>
        <w:rFonts w:ascii="仿宋_GB2312" w:hAnsi="仿宋_GB2312" w:eastAsia="仿宋_GB2312" w:cs="仿宋_GB2312"/>
        <w:sz w:val="28"/>
        <w:szCs w:val="28"/>
        <w:rtl w:val="0"/>
      </w:rPr>
      <w:fldChar w:fldCharType="begin"/>
    </w:r>
    <w:r>
      <w:rPr>
        <w:rFonts w:ascii="仿宋_GB2312" w:hAnsi="仿宋_GB2312" w:eastAsia="仿宋_GB2312" w:cs="仿宋_GB2312"/>
        <w:sz w:val="28"/>
        <w:szCs w:val="28"/>
        <w:rtl w:val="0"/>
      </w:rPr>
      <w:instrText xml:space="preserve"> PAGE </w:instrText>
    </w:r>
    <w:r>
      <w:rPr>
        <w:rFonts w:ascii="仿宋_GB2312" w:hAnsi="仿宋_GB2312" w:eastAsia="仿宋_GB2312" w:cs="仿宋_GB2312"/>
        <w:sz w:val="28"/>
        <w:szCs w:val="28"/>
        <w:rtl w:val="0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rtl w:val="0"/>
      </w:rPr>
      <w:fldChar w:fldCharType="end"/>
    </w:r>
    <w:r>
      <w:rPr>
        <w:rFonts w:ascii="仿宋_GB2312" w:hAnsi="仿宋_GB2312" w:eastAsia="仿宋_GB2312" w:cs="仿宋_GB2312"/>
        <w:sz w:val="28"/>
        <w:szCs w:val="28"/>
        <w:rtl w:val="0"/>
        <w:lang w:val="en-US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CC915C4"/>
    <w:rsid w:val="4F19741A"/>
    <w:rsid w:val="53B7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616"/>
      </w:tabs>
      <w:spacing w:line="540" w:lineRule="exact"/>
      <w:ind w:firstLine="622"/>
    </w:pPr>
    <w:rPr>
      <w:rFonts w:ascii="宋体" w:hAnsi="宋体"/>
      <w:sz w:val="30"/>
      <w:szCs w:val="20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0">
    <w:name w:val="正文文本缩进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60" w:lineRule="exact"/>
      <w:ind w:left="0" w:right="0" w:firstLine="56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2020-09-15T08:34:00Z</dcterms:created>
  <dc:creator>lenovo</dc:creator>
  <cp:lastModifiedBy>lenovo</cp:lastModifiedBy>
  <dcterms:modified xsi:type="dcterms:W3CDTF">2020-09-15T09:25:26Z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