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51" w:firstLineChars="872"/>
        <w:rPr>
          <w:rFonts w:ascii="Arial" w:hAnsi="Arial" w:eastAsia="宋体" w:cs="Arial"/>
          <w:b/>
          <w:sz w:val="36"/>
          <w:szCs w:val="44"/>
        </w:rPr>
      </w:pPr>
      <w:r>
        <w:rPr>
          <w:rFonts w:hint="eastAsia" w:ascii="Arial" w:hAnsi="Arial" w:eastAsia="宋体" w:cs="Arial"/>
          <w:b/>
          <w:sz w:val="36"/>
          <w:szCs w:val="44"/>
        </w:rPr>
        <w:t>海口海事法院</w:t>
      </w:r>
    </w:p>
    <w:p>
      <w:pPr>
        <w:jc w:val="center"/>
        <w:rPr>
          <w:rFonts w:ascii="宋体" w:hAnsi="宋体" w:eastAsia="宋体" w:cs="宋体"/>
          <w:b/>
          <w:sz w:val="36"/>
          <w:szCs w:val="44"/>
        </w:rPr>
      </w:pPr>
      <w:r>
        <w:rPr>
          <w:rFonts w:hint="eastAsia" w:ascii="Arial" w:hAnsi="Arial" w:eastAsia="宋体" w:cs="Arial"/>
          <w:b/>
          <w:sz w:val="36"/>
          <w:szCs w:val="44"/>
        </w:rPr>
        <w:t xml:space="preserve"> 政法纪检监察</w:t>
      </w:r>
      <w:r>
        <w:rPr>
          <w:rFonts w:hint="eastAsia" w:ascii="宋体" w:hAnsi="宋体" w:eastAsia="宋体" w:cs="宋体"/>
          <w:b/>
          <w:sz w:val="36"/>
          <w:szCs w:val="44"/>
        </w:rPr>
        <w:t>转移支付资金</w:t>
      </w:r>
    </w:p>
    <w:p>
      <w:pPr>
        <w:jc w:val="center"/>
        <w:rPr>
          <w:rFonts w:ascii="宋体" w:hAnsi="宋体" w:eastAsia="宋体" w:cs="宋体"/>
          <w:b/>
          <w:sz w:val="36"/>
          <w:szCs w:val="44"/>
        </w:rPr>
      </w:pPr>
      <w:r>
        <w:rPr>
          <w:rFonts w:hint="eastAsia" w:ascii="Arial" w:hAnsi="Arial" w:eastAsia="宋体" w:cs="Arial"/>
          <w:b/>
          <w:sz w:val="36"/>
          <w:szCs w:val="44"/>
        </w:rPr>
        <w:t xml:space="preserve"> 20</w:t>
      </w:r>
      <w:r>
        <w:rPr>
          <w:rFonts w:hint="eastAsia" w:ascii="Arial" w:hAnsi="Arial" w:eastAsia="宋体" w:cs="Arial"/>
          <w:b/>
          <w:sz w:val="36"/>
          <w:szCs w:val="44"/>
          <w:lang w:val="en-US" w:eastAsia="zh-CN"/>
        </w:rPr>
        <w:t>21</w:t>
      </w:r>
      <w:r>
        <w:rPr>
          <w:rFonts w:hint="eastAsia" w:ascii="宋体" w:hAnsi="宋体" w:eastAsia="宋体" w:cs="宋体"/>
          <w:b/>
          <w:sz w:val="36"/>
          <w:szCs w:val="44"/>
        </w:rPr>
        <w:t>年度绩效自评报告</w:t>
      </w:r>
    </w:p>
    <w:p>
      <w:pPr>
        <w:rPr>
          <w:rFonts w:ascii="仿宋_GB2312"/>
          <w:szCs w:val="32"/>
        </w:rPr>
      </w:pPr>
    </w:p>
    <w:p>
      <w:pPr>
        <w:ind w:firstLine="600" w:firstLineChars="200"/>
        <w:rPr>
          <w:rFonts w:ascii="黑体" w:hAnsi="黑体" w:eastAsia="黑体" w:cs="黑体"/>
          <w:bCs/>
          <w:szCs w:val="32"/>
        </w:rPr>
      </w:pPr>
      <w:r>
        <w:rPr>
          <w:rFonts w:hint="eastAsia" w:ascii="黑体" w:hAnsi="黑体" w:eastAsia="黑体" w:cs="黑体"/>
          <w:bCs/>
          <w:szCs w:val="32"/>
        </w:rPr>
        <w:t>一、绩效目标分解下达情况</w:t>
      </w:r>
    </w:p>
    <w:p>
      <w:pPr>
        <w:ind w:firstLine="600" w:firstLineChars="200"/>
        <w:outlineLvl w:val="0"/>
        <w:rPr>
          <w:rFonts w:ascii="仿宋_GB2312"/>
          <w:szCs w:val="32"/>
        </w:rPr>
      </w:pPr>
      <w:r>
        <w:rPr>
          <w:rFonts w:hint="eastAsia" w:ascii="仿宋_GB2312"/>
          <w:szCs w:val="32"/>
        </w:rPr>
        <w:t>（一）中央下达转移支付预算和绩效目标情况。</w:t>
      </w:r>
    </w:p>
    <w:p>
      <w:pPr>
        <w:ind w:firstLine="600" w:firstLineChars="200"/>
        <w:outlineLvl w:val="0"/>
        <w:rPr>
          <w:rFonts w:ascii="仿宋_GB2312"/>
          <w:szCs w:val="32"/>
        </w:rPr>
      </w:pPr>
      <w:r>
        <w:rPr>
          <w:rFonts w:hint="eastAsia" w:ascii="仿宋_GB2312"/>
          <w:szCs w:val="32"/>
          <w:lang w:val="en-US" w:eastAsia="zh-CN"/>
        </w:rPr>
        <w:t>2021</w:t>
      </w:r>
      <w:r>
        <w:rPr>
          <w:rFonts w:hint="eastAsia" w:ascii="仿宋_GB2312"/>
          <w:szCs w:val="32"/>
        </w:rPr>
        <w:t>年，中央政法纪检监察转移支付资金下达我院12</w:t>
      </w:r>
      <w:r>
        <w:rPr>
          <w:rFonts w:hint="eastAsia" w:ascii="仿宋_GB2312"/>
          <w:szCs w:val="32"/>
          <w:lang w:val="en-US" w:eastAsia="zh-CN"/>
        </w:rPr>
        <w:t>90.83</w:t>
      </w:r>
      <w:r>
        <w:rPr>
          <w:rFonts w:hint="eastAsia" w:ascii="仿宋_GB2312"/>
          <w:szCs w:val="32"/>
        </w:rPr>
        <w:t>万，包括办案业务费5</w:t>
      </w:r>
      <w:r>
        <w:rPr>
          <w:rFonts w:hint="eastAsia" w:ascii="仿宋_GB2312"/>
          <w:szCs w:val="32"/>
          <w:lang w:val="en-US" w:eastAsia="zh-CN"/>
        </w:rPr>
        <w:t>04</w:t>
      </w:r>
      <w:r>
        <w:rPr>
          <w:rFonts w:hint="eastAsia" w:ascii="仿宋_GB2312"/>
          <w:szCs w:val="32"/>
        </w:rPr>
        <w:t>万、业务装备费</w:t>
      </w:r>
      <w:r>
        <w:rPr>
          <w:rFonts w:hint="eastAsia" w:ascii="仿宋_GB2312"/>
          <w:szCs w:val="32"/>
          <w:lang w:val="en-US" w:eastAsia="zh-CN"/>
        </w:rPr>
        <w:t>783.83</w:t>
      </w:r>
      <w:r>
        <w:rPr>
          <w:rFonts w:hint="eastAsia" w:ascii="仿宋_GB2312"/>
          <w:szCs w:val="32"/>
        </w:rPr>
        <w:t>万和司法救助</w:t>
      </w:r>
      <w:r>
        <w:rPr>
          <w:rFonts w:hint="eastAsia" w:ascii="仿宋_GB2312"/>
          <w:szCs w:val="32"/>
          <w:lang w:val="en-US" w:eastAsia="zh-CN"/>
        </w:rPr>
        <w:t>3</w:t>
      </w:r>
      <w:r>
        <w:rPr>
          <w:rFonts w:hint="eastAsia" w:ascii="仿宋_GB2312"/>
          <w:szCs w:val="32"/>
        </w:rPr>
        <w:t>万。</w:t>
      </w:r>
    </w:p>
    <w:p>
      <w:pPr>
        <w:ind w:firstLine="600" w:firstLineChars="200"/>
        <w:outlineLvl w:val="0"/>
        <w:rPr>
          <w:rFonts w:ascii="仿宋_GB2312"/>
          <w:szCs w:val="32"/>
        </w:rPr>
      </w:pPr>
      <w:r>
        <w:rPr>
          <w:rFonts w:hint="eastAsia" w:ascii="仿宋_GB2312"/>
          <w:szCs w:val="32"/>
        </w:rPr>
        <w:t>该项目设定的各项绩效目标详见附表。</w:t>
      </w:r>
    </w:p>
    <w:p>
      <w:pPr>
        <w:tabs>
          <w:tab w:val="left" w:pos="7080"/>
        </w:tabs>
        <w:ind w:firstLine="600" w:firstLineChars="200"/>
        <w:outlineLvl w:val="0"/>
        <w:rPr>
          <w:rFonts w:ascii="仿宋_GB2312"/>
          <w:szCs w:val="32"/>
        </w:rPr>
      </w:pPr>
      <w:r>
        <w:rPr>
          <w:rFonts w:hint="eastAsia" w:ascii="仿宋_GB2312"/>
          <w:szCs w:val="32"/>
        </w:rPr>
        <w:t>（二）省内资金安排、分解下达预算和绩效目标情况。</w:t>
      </w:r>
    </w:p>
    <w:p>
      <w:pPr>
        <w:ind w:firstLine="600" w:firstLineChars="200"/>
        <w:rPr>
          <w:rFonts w:ascii="仿宋_GB2312"/>
          <w:szCs w:val="32"/>
        </w:rPr>
      </w:pPr>
      <w:r>
        <w:rPr>
          <w:rFonts w:hint="eastAsia" w:ascii="仿宋_GB2312"/>
          <w:szCs w:val="32"/>
        </w:rPr>
        <w:t>20</w:t>
      </w:r>
      <w:r>
        <w:rPr>
          <w:rFonts w:hint="eastAsia" w:ascii="仿宋_GB2312"/>
          <w:szCs w:val="32"/>
          <w:lang w:val="en-US" w:eastAsia="zh-CN"/>
        </w:rPr>
        <w:t>21</w:t>
      </w:r>
      <w:r>
        <w:rPr>
          <w:rFonts w:hint="eastAsia" w:ascii="仿宋_GB2312"/>
          <w:szCs w:val="32"/>
        </w:rPr>
        <w:t>年，省级配套政法纪检监察转移支付资金下达我院</w:t>
      </w:r>
      <w:r>
        <w:rPr>
          <w:rFonts w:hint="eastAsia" w:ascii="仿宋_GB2312"/>
          <w:szCs w:val="32"/>
          <w:lang w:val="en-US" w:eastAsia="zh-CN"/>
        </w:rPr>
        <w:t>47</w:t>
      </w:r>
      <w:r>
        <w:rPr>
          <w:rFonts w:hint="eastAsia" w:ascii="仿宋_GB2312"/>
          <w:szCs w:val="32"/>
        </w:rPr>
        <w:t>万，包括办案业务费47万。</w:t>
      </w:r>
    </w:p>
    <w:p>
      <w:pPr>
        <w:ind w:firstLine="600" w:firstLineChars="200"/>
        <w:outlineLvl w:val="0"/>
        <w:rPr>
          <w:rFonts w:ascii="仿宋_GB2312"/>
          <w:szCs w:val="32"/>
        </w:rPr>
      </w:pPr>
      <w:r>
        <w:rPr>
          <w:rFonts w:hint="eastAsia" w:ascii="仿宋_GB2312"/>
          <w:szCs w:val="32"/>
        </w:rPr>
        <w:t>该项目设定的各项绩效目标详见附表。</w:t>
      </w:r>
    </w:p>
    <w:p>
      <w:pPr>
        <w:ind w:firstLine="600" w:firstLineChars="200"/>
        <w:rPr>
          <w:rFonts w:ascii="黑体" w:hAnsi="黑体" w:eastAsia="黑体" w:cs="黑体"/>
          <w:bCs/>
          <w:szCs w:val="32"/>
        </w:rPr>
      </w:pPr>
      <w:r>
        <w:rPr>
          <w:rFonts w:hint="eastAsia" w:ascii="黑体" w:hAnsi="黑体" w:eastAsia="黑体" w:cs="黑体"/>
          <w:bCs/>
          <w:szCs w:val="32"/>
        </w:rPr>
        <w:t>二、绩效目标完成情况分析</w:t>
      </w:r>
    </w:p>
    <w:p>
      <w:pPr>
        <w:ind w:firstLine="602" w:firstLineChars="200"/>
        <w:outlineLvl w:val="0"/>
        <w:rPr>
          <w:rFonts w:ascii="楷体_GB2312" w:hAnsi="楷体_GB2312" w:eastAsia="楷体_GB2312" w:cs="楷体_GB2312"/>
          <w:b/>
          <w:bCs/>
          <w:szCs w:val="32"/>
        </w:rPr>
      </w:pPr>
      <w:r>
        <w:rPr>
          <w:rFonts w:hint="eastAsia" w:ascii="楷体_GB2312" w:hAnsi="楷体_GB2312" w:eastAsia="楷体_GB2312" w:cs="楷体_GB2312"/>
          <w:b/>
          <w:bCs/>
          <w:szCs w:val="32"/>
        </w:rPr>
        <w:t>（一）资金投入情况分析。</w:t>
      </w:r>
    </w:p>
    <w:p>
      <w:pPr>
        <w:ind w:firstLine="600" w:firstLineChars="200"/>
        <w:rPr>
          <w:rFonts w:ascii="仿宋_GB2312"/>
          <w:szCs w:val="32"/>
          <w:highlight w:val="none"/>
        </w:rPr>
      </w:pPr>
      <w:r>
        <w:rPr>
          <w:rFonts w:hint="eastAsia" w:ascii="仿宋_GB2312"/>
          <w:szCs w:val="32"/>
          <w:highlight w:val="none"/>
        </w:rPr>
        <w:t>1.项目资金到位情况分析。</w:t>
      </w:r>
    </w:p>
    <w:p>
      <w:pPr>
        <w:ind w:firstLine="600"/>
        <w:jc w:val="center"/>
        <w:rPr>
          <w:rFonts w:hint="eastAsia" w:ascii="仿宋_GB2312"/>
          <w:szCs w:val="32"/>
          <w:lang w:eastAsia="zh-CN"/>
        </w:rPr>
      </w:pPr>
      <w:r>
        <w:rPr>
          <w:rFonts w:hint="eastAsia" w:ascii="仿宋_GB2312"/>
          <w:szCs w:val="32"/>
        </w:rPr>
        <w:t>年初结转资金</w:t>
      </w:r>
      <w:r>
        <w:rPr>
          <w:rFonts w:hint="eastAsia" w:ascii="仿宋_GB2312"/>
          <w:szCs w:val="32"/>
          <w:lang w:val="en-US" w:eastAsia="zh-CN"/>
        </w:rPr>
        <w:t>1</w:t>
      </w:r>
      <w:r>
        <w:rPr>
          <w:rFonts w:hint="eastAsia" w:ascii="仿宋_GB2312"/>
          <w:szCs w:val="32"/>
        </w:rPr>
        <w:t>.83万于20</w:t>
      </w:r>
      <w:r>
        <w:rPr>
          <w:rFonts w:hint="eastAsia" w:ascii="仿宋_GB2312"/>
          <w:szCs w:val="32"/>
          <w:lang w:val="en-US" w:eastAsia="zh-CN"/>
        </w:rPr>
        <w:t>21</w:t>
      </w:r>
      <w:r>
        <w:rPr>
          <w:rFonts w:hint="eastAsia" w:ascii="仿宋_GB2312"/>
          <w:szCs w:val="32"/>
        </w:rPr>
        <w:t>年1月1</w:t>
      </w:r>
      <w:r>
        <w:rPr>
          <w:rFonts w:hint="eastAsia" w:ascii="仿宋_GB2312"/>
          <w:szCs w:val="32"/>
          <w:lang w:val="en-US" w:eastAsia="zh-CN"/>
        </w:rPr>
        <w:t>1</w:t>
      </w:r>
      <w:r>
        <w:rPr>
          <w:rFonts w:hint="eastAsia" w:ascii="仿宋_GB2312"/>
          <w:szCs w:val="32"/>
        </w:rPr>
        <w:t>日到位；中央政法纪检监察转移支付资金分两批下达，第一批</w:t>
      </w:r>
      <w:r>
        <w:rPr>
          <w:rFonts w:hint="eastAsia" w:ascii="仿宋_GB2312"/>
          <w:szCs w:val="32"/>
          <w:lang w:val="en-US" w:eastAsia="zh-CN"/>
        </w:rPr>
        <w:t>1080.83</w:t>
      </w:r>
      <w:r>
        <w:rPr>
          <w:rFonts w:hint="eastAsia" w:ascii="仿宋_GB2312"/>
          <w:szCs w:val="32"/>
        </w:rPr>
        <w:t>万于20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4</w:t>
      </w:r>
      <w:r>
        <w:rPr>
          <w:rFonts w:hint="eastAsia" w:ascii="仿宋_GB2312"/>
          <w:szCs w:val="32"/>
        </w:rPr>
        <w:t>日下达，第二批</w:t>
      </w:r>
      <w:r>
        <w:rPr>
          <w:rFonts w:hint="eastAsia" w:ascii="仿宋_GB2312"/>
          <w:szCs w:val="32"/>
          <w:lang w:val="en-US" w:eastAsia="zh-CN"/>
        </w:rPr>
        <w:t>2</w:t>
      </w:r>
      <w:r>
        <w:rPr>
          <w:rFonts w:hint="eastAsia" w:ascii="仿宋_GB2312"/>
          <w:szCs w:val="32"/>
        </w:rPr>
        <w:t>10万于20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10</w:t>
      </w:r>
      <w:r>
        <w:rPr>
          <w:rFonts w:hint="eastAsia" w:ascii="仿宋_GB2312"/>
          <w:szCs w:val="32"/>
        </w:rPr>
        <w:t>日下达；省级配套政法纪检监察转移支付资金</w:t>
      </w:r>
      <w:r>
        <w:rPr>
          <w:rFonts w:hint="eastAsia" w:ascii="仿宋_GB2312"/>
          <w:szCs w:val="32"/>
          <w:lang w:val="en-US" w:eastAsia="zh-CN"/>
        </w:rPr>
        <w:t>47万于2021年2月4日</w:t>
      </w:r>
      <w:r>
        <w:rPr>
          <w:rFonts w:hint="eastAsia" w:ascii="仿宋_GB2312"/>
          <w:szCs w:val="32"/>
          <w:lang w:eastAsia="zh-CN"/>
        </w:rPr>
        <w:t>一次性</w:t>
      </w:r>
    </w:p>
    <w:p>
      <w:pPr>
        <w:jc w:val="both"/>
        <w:rPr>
          <w:rFonts w:ascii="仿宋_GB2312"/>
          <w:szCs w:val="32"/>
        </w:rPr>
      </w:pPr>
      <w:r>
        <w:rPr>
          <w:rFonts w:hint="eastAsia" w:ascii="仿宋_GB2312"/>
          <w:szCs w:val="32"/>
        </w:rPr>
        <w:t>下达。中央、省级政法纪检监察转移支付资金到位率100%。</w:t>
      </w:r>
    </w:p>
    <w:p>
      <w:pPr>
        <w:ind w:firstLine="600" w:firstLineChars="200"/>
        <w:rPr>
          <w:rFonts w:ascii="仿宋_GB2312"/>
          <w:szCs w:val="32"/>
        </w:rPr>
      </w:pPr>
      <w:r>
        <w:rPr>
          <w:rFonts w:hint="eastAsia" w:ascii="仿宋_GB2312"/>
          <w:szCs w:val="32"/>
        </w:rPr>
        <w:t>2.项目资金执行情况分析。</w:t>
      </w:r>
    </w:p>
    <w:p>
      <w:pPr>
        <w:ind w:firstLine="600" w:firstLineChars="200"/>
        <w:rPr>
          <w:rFonts w:ascii="仿宋_GB2312"/>
          <w:szCs w:val="32"/>
        </w:rPr>
      </w:pPr>
      <w:r>
        <w:rPr>
          <w:rFonts w:hint="eastAsia" w:ascii="仿宋_GB2312"/>
          <w:szCs w:val="32"/>
        </w:rPr>
        <w:t>截止20</w:t>
      </w:r>
      <w:r>
        <w:rPr>
          <w:rFonts w:hint="eastAsia" w:ascii="仿宋_GB2312"/>
          <w:szCs w:val="32"/>
          <w:lang w:val="en-US" w:eastAsia="zh-CN"/>
        </w:rPr>
        <w:t>21</w:t>
      </w:r>
      <w:r>
        <w:rPr>
          <w:rFonts w:hint="eastAsia" w:ascii="仿宋_GB2312"/>
          <w:szCs w:val="32"/>
        </w:rPr>
        <w:t>年12月，海口海事法院本级中央政法纪检监察转移支付资金合计支出12</w:t>
      </w:r>
      <w:r>
        <w:rPr>
          <w:rFonts w:hint="eastAsia" w:ascii="仿宋_GB2312"/>
          <w:szCs w:val="32"/>
          <w:lang w:val="en-US" w:eastAsia="zh-CN"/>
        </w:rPr>
        <w:t>53.47</w:t>
      </w:r>
      <w:r>
        <w:rPr>
          <w:rFonts w:hint="eastAsia" w:ascii="仿宋_GB2312"/>
          <w:szCs w:val="32"/>
        </w:rPr>
        <w:t>万，结余3</w:t>
      </w:r>
      <w:r>
        <w:rPr>
          <w:rFonts w:hint="eastAsia" w:ascii="仿宋_GB2312"/>
          <w:szCs w:val="32"/>
          <w:lang w:val="en-US" w:eastAsia="zh-CN"/>
        </w:rPr>
        <w:t>7.36</w:t>
      </w:r>
      <w:r>
        <w:rPr>
          <w:rFonts w:hint="eastAsia" w:ascii="仿宋_GB2312"/>
          <w:szCs w:val="32"/>
        </w:rPr>
        <w:t>万，预算执行率97%；</w:t>
      </w:r>
      <w:r>
        <w:rPr>
          <w:rFonts w:hint="eastAsia" w:ascii="仿宋_GB2312"/>
          <w:szCs w:val="32"/>
          <w:highlight w:val="none"/>
        </w:rPr>
        <w:t>省级政法纪检监察转移支付资金</w:t>
      </w:r>
      <w:r>
        <w:rPr>
          <w:rFonts w:hint="eastAsia" w:ascii="仿宋_GB2312"/>
          <w:szCs w:val="32"/>
        </w:rPr>
        <w:t>年末合计支出</w:t>
      </w:r>
      <w:r>
        <w:rPr>
          <w:rFonts w:hint="eastAsia" w:ascii="仿宋_GB2312"/>
          <w:szCs w:val="32"/>
          <w:lang w:val="en-US" w:eastAsia="zh-CN"/>
        </w:rPr>
        <w:t>47</w:t>
      </w:r>
      <w:r>
        <w:rPr>
          <w:rFonts w:hint="eastAsia" w:ascii="仿宋_GB2312"/>
          <w:szCs w:val="32"/>
        </w:rPr>
        <w:t>万，预算执行率100%。政法纪检监察转移支付资金年末预算执行率为97%。</w:t>
      </w:r>
    </w:p>
    <w:p>
      <w:pPr>
        <w:ind w:firstLine="600" w:firstLineChars="200"/>
        <w:rPr>
          <w:rFonts w:ascii="仿宋_GB2312"/>
          <w:szCs w:val="32"/>
          <w:highlight w:val="none"/>
        </w:rPr>
      </w:pPr>
      <w:r>
        <w:rPr>
          <w:rFonts w:hint="eastAsia" w:ascii="仿宋_GB2312"/>
          <w:szCs w:val="32"/>
          <w:highlight w:val="none"/>
        </w:rPr>
        <w:t>3.项目资金管理情况分析。</w:t>
      </w:r>
    </w:p>
    <w:p>
      <w:pPr>
        <w:spacing w:line="560" w:lineRule="exact"/>
        <w:ind w:firstLine="600" w:firstLineChars="200"/>
        <w:rPr>
          <w:rFonts w:hAnsi="仿宋"/>
          <w:szCs w:val="32"/>
        </w:rPr>
      </w:pPr>
      <w:r>
        <w:rPr>
          <w:rFonts w:hint="eastAsia" w:ascii="仿宋_GB2312"/>
          <w:szCs w:val="32"/>
        </w:rPr>
        <w:t>海口海事法院本级</w:t>
      </w:r>
      <w:r>
        <w:rPr>
          <w:rFonts w:hint="eastAsia" w:hAnsi="仿宋"/>
          <w:szCs w:val="32"/>
        </w:rPr>
        <w:t>项目资金按照</w:t>
      </w:r>
      <w:r>
        <w:rPr>
          <w:rFonts w:hint="eastAsia" w:hAnsi="仿宋_GB2312"/>
          <w:szCs w:val="32"/>
        </w:rPr>
        <w:t>《海南省国家司法救助实施办法（试行）》（</w:t>
      </w:r>
      <w:r>
        <w:rPr>
          <w:rFonts w:hint="eastAsia"/>
          <w:szCs w:val="36"/>
        </w:rPr>
        <w:t>琼政字〔2014〕100号</w:t>
      </w:r>
      <w:r>
        <w:rPr>
          <w:rFonts w:hint="eastAsia" w:hAnsi="仿宋_GB2312"/>
          <w:szCs w:val="32"/>
        </w:rPr>
        <w:t>）、差旅费管理相关办法、《海南省人民法院业务经费开支范围》</w:t>
      </w:r>
      <w:r>
        <w:rPr>
          <w:rFonts w:hint="eastAsia" w:hAnsi="仿宋"/>
          <w:szCs w:val="32"/>
        </w:rPr>
        <w:t>和我院内部控制规范等相关要求，确保资金支出合法合规。我院有专门的司法救助委员会专门办理海口海事法院本级的司法救助类案件。根据司法救助委员会作出的司法救助决定书，财务部门按照</w:t>
      </w:r>
      <w:r>
        <w:rPr>
          <w:rFonts w:hint="eastAsia" w:hAnsi="仿宋_GB2312"/>
          <w:szCs w:val="32"/>
        </w:rPr>
        <w:t>司法救助资金发放程序</w:t>
      </w:r>
      <w:r>
        <w:rPr>
          <w:rFonts w:hint="eastAsia" w:hAnsi="仿宋"/>
          <w:szCs w:val="32"/>
        </w:rPr>
        <w:t>审核把关。办案业务费主要用于办理我院案件相关的业务支出，业务装备费主要用于办理我院办案专用的设备、信息化基础设施及审执业务系统建设、审判家具等支出，其中涉及招标的，严格按照招标程序办理。</w:t>
      </w:r>
    </w:p>
    <w:p>
      <w:pPr>
        <w:spacing w:line="560" w:lineRule="exact"/>
        <w:ind w:firstLine="600" w:firstLineChars="200"/>
        <w:rPr>
          <w:rFonts w:hAnsi="仿宋"/>
          <w:szCs w:val="32"/>
        </w:rPr>
      </w:pPr>
      <w:r>
        <w:rPr>
          <w:rFonts w:hint="eastAsia" w:hAnsi="仿宋"/>
          <w:szCs w:val="32"/>
        </w:rPr>
        <w:t>以上按照我院内部审批流程审签后，再交由会计核算站复核，确保资金安全有效支付。</w:t>
      </w:r>
    </w:p>
    <w:p>
      <w:pPr>
        <w:ind w:firstLine="602" w:firstLineChars="200"/>
        <w:outlineLvl w:val="0"/>
        <w:rPr>
          <w:rFonts w:ascii="楷体_GB2312" w:hAnsi="楷体_GB2312" w:eastAsia="楷体_GB2312" w:cs="楷体_GB2312"/>
          <w:b/>
          <w:bCs/>
          <w:szCs w:val="32"/>
        </w:rPr>
      </w:pPr>
      <w:r>
        <w:rPr>
          <w:rFonts w:hint="eastAsia" w:ascii="楷体_GB2312" w:hAnsi="楷体_GB2312" w:eastAsia="楷体_GB2312" w:cs="楷体_GB2312"/>
          <w:b/>
          <w:bCs/>
          <w:szCs w:val="32"/>
        </w:rPr>
        <w:t>（二）总体绩效目标完成情况分析。</w:t>
      </w:r>
    </w:p>
    <w:p>
      <w:pPr>
        <w:ind w:firstLine="600" w:firstLineChars="200"/>
        <w:rPr>
          <w:rFonts w:hAnsi="仿宋"/>
          <w:szCs w:val="32"/>
        </w:rPr>
      </w:pPr>
      <w:r>
        <w:rPr>
          <w:rFonts w:hint="eastAsia" w:hAnsi="仿宋"/>
          <w:szCs w:val="32"/>
        </w:rPr>
        <w:t>海口海事法院本级政法纪检监察转移支付项目资金预算执行率达97%，高于年初设定的90%目标，我院充分利用中央、省级下达资金，全力保障审判执行工作顺利进行。按照办案业务、装备费用的需求情况，根据案件进度、工程进度支付，确保符合救助条件的案件当事人及时得到司法救助，</w:t>
      </w:r>
      <w:r>
        <w:rPr>
          <w:rFonts w:hint="eastAsia" w:hAnsi="仿宋"/>
          <w:szCs w:val="32"/>
          <w:highlight w:val="none"/>
        </w:rPr>
        <w:t>保证“中法大厦”信息化建设符合自贸区港建设新需求，确保我院</w:t>
      </w:r>
      <w:r>
        <w:rPr>
          <w:rFonts w:hint="eastAsia" w:hAnsi="仿宋"/>
          <w:szCs w:val="32"/>
          <w:highlight w:val="none"/>
          <w:lang w:eastAsia="zh-CN"/>
        </w:rPr>
        <w:t>在新办公楼的各项信息化及装备到位</w:t>
      </w:r>
      <w:r>
        <w:rPr>
          <w:rFonts w:hint="eastAsia" w:hAnsi="仿宋"/>
          <w:szCs w:val="32"/>
          <w:highlight w:val="none"/>
        </w:rPr>
        <w:t>，</w:t>
      </w:r>
      <w:r>
        <w:rPr>
          <w:rFonts w:hint="eastAsia" w:hAnsi="仿宋"/>
          <w:szCs w:val="32"/>
        </w:rPr>
        <w:t>最终达到提高各类案件审判效率，有效化解法律纠纷和社会矛盾，维护社会公平正义，保护公民权益，同时促进我院在新的办公环境下更好的为自贸区港海事审判业务服务，最终实现该项目绩效目标。</w:t>
      </w:r>
    </w:p>
    <w:p>
      <w:pPr>
        <w:ind w:firstLine="602" w:firstLineChars="200"/>
        <w:outlineLvl w:val="0"/>
        <w:rPr>
          <w:rFonts w:ascii="仿宋_GB2312"/>
          <w:szCs w:val="32"/>
        </w:rPr>
      </w:pPr>
      <w:r>
        <w:rPr>
          <w:rFonts w:hint="eastAsia" w:ascii="楷体_GB2312" w:hAnsi="楷体_GB2312" w:eastAsia="楷体_GB2312" w:cs="楷体_GB2312"/>
          <w:b/>
          <w:bCs/>
          <w:szCs w:val="32"/>
        </w:rPr>
        <w:t>（三）绩效指标完成情况分析。</w:t>
      </w:r>
    </w:p>
    <w:p>
      <w:pPr>
        <w:ind w:firstLine="600" w:firstLineChars="200"/>
        <w:rPr>
          <w:rFonts w:ascii="仿宋_GB2312"/>
          <w:szCs w:val="32"/>
        </w:rPr>
      </w:pPr>
      <w:r>
        <w:rPr>
          <w:rFonts w:hint="eastAsia" w:ascii="仿宋_GB2312"/>
          <w:szCs w:val="32"/>
        </w:rPr>
        <w:t>1</w:t>
      </w:r>
      <w:r>
        <w:rPr>
          <w:rFonts w:hint="eastAsia" w:ascii="仿宋_GB2312"/>
          <w:szCs w:val="32"/>
          <w:highlight w:val="none"/>
        </w:rPr>
        <w:t>.产出指标完成情况分析。</w:t>
      </w:r>
    </w:p>
    <w:p>
      <w:pPr>
        <w:spacing w:line="560" w:lineRule="exact"/>
        <w:ind w:firstLine="600" w:firstLineChars="200"/>
        <w:rPr>
          <w:rFonts w:ascii="仿宋" w:hAnsi="仿宋" w:eastAsia="仿宋" w:cs="仿宋"/>
          <w:bCs/>
          <w:kern w:val="0"/>
          <w:szCs w:val="32"/>
          <w:lang w:val="zh-CN"/>
        </w:rPr>
      </w:pPr>
      <w:r>
        <w:rPr>
          <w:rFonts w:hint="eastAsia" w:ascii="仿宋" w:hAnsi="仿宋" w:eastAsia="仿宋" w:cs="仿宋"/>
          <w:szCs w:val="32"/>
        </w:rPr>
        <w:t>海口海事法院本级转移支付资金数量指标计划全年案件办理数</w:t>
      </w:r>
      <w:r>
        <w:rPr>
          <w:rFonts w:hint="eastAsia" w:ascii="仿宋" w:hAnsi="仿宋" w:eastAsia="仿宋" w:cs="仿宋"/>
          <w:szCs w:val="32"/>
          <w:lang w:val="en-US" w:eastAsia="zh-CN"/>
        </w:rPr>
        <w:t>1000</w:t>
      </w:r>
      <w:r>
        <w:rPr>
          <w:rFonts w:hint="eastAsia" w:ascii="仿宋" w:hAnsi="仿宋" w:eastAsia="仿宋" w:cs="仿宋"/>
          <w:szCs w:val="32"/>
        </w:rPr>
        <w:t>件，年底实际完成</w:t>
      </w:r>
      <w:r>
        <w:rPr>
          <w:rFonts w:hint="eastAsia" w:ascii="仿宋" w:hAnsi="仿宋" w:eastAsia="仿宋" w:cs="仿宋"/>
          <w:szCs w:val="32"/>
          <w:lang w:val="en-US" w:eastAsia="zh-CN"/>
        </w:rPr>
        <w:t>1432</w:t>
      </w:r>
      <w:r>
        <w:rPr>
          <w:rFonts w:hint="eastAsia" w:ascii="仿宋" w:hAnsi="仿宋" w:eastAsia="仿宋" w:cs="仿宋"/>
          <w:szCs w:val="32"/>
        </w:rPr>
        <w:t>件；</w:t>
      </w:r>
      <w:r>
        <w:rPr>
          <w:rFonts w:hint="eastAsia" w:ascii="仿宋" w:hAnsi="仿宋" w:eastAsia="仿宋" w:cs="仿宋"/>
          <w:szCs w:val="32"/>
          <w:highlight w:val="none"/>
        </w:rPr>
        <w:t>质量指标计划全省精品案例全年完成1件以上，年底实际完成</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件</w:t>
      </w:r>
      <w:r>
        <w:rPr>
          <w:rFonts w:hint="eastAsia" w:ascii="仿宋" w:hAnsi="仿宋" w:eastAsia="仿宋" w:cs="仿宋"/>
          <w:szCs w:val="32"/>
        </w:rPr>
        <w:t>；时效指标计划全年结案率完成90%以上，年底实际完成9</w:t>
      </w:r>
      <w:r>
        <w:rPr>
          <w:rFonts w:hint="eastAsia" w:ascii="仿宋" w:hAnsi="仿宋" w:eastAsia="仿宋" w:cs="仿宋"/>
          <w:szCs w:val="32"/>
          <w:lang w:val="en-US" w:eastAsia="zh-CN"/>
        </w:rPr>
        <w:t>2.57</w:t>
      </w:r>
      <w:r>
        <w:rPr>
          <w:rFonts w:hint="eastAsia" w:ascii="仿宋" w:hAnsi="仿宋" w:eastAsia="仿宋" w:cs="仿宋"/>
          <w:szCs w:val="32"/>
        </w:rPr>
        <w:t>%；成本指标计划政法经费资金花费1</w:t>
      </w:r>
      <w:r>
        <w:rPr>
          <w:rFonts w:hint="eastAsia" w:ascii="仿宋" w:hAnsi="仿宋" w:eastAsia="仿宋" w:cs="仿宋"/>
          <w:szCs w:val="32"/>
          <w:lang w:val="en-US" w:eastAsia="zh-CN"/>
        </w:rPr>
        <w:t>4</w:t>
      </w:r>
      <w:r>
        <w:rPr>
          <w:rFonts w:hint="eastAsia" w:ascii="仿宋" w:hAnsi="仿宋" w:eastAsia="仿宋" w:cs="仿宋"/>
          <w:szCs w:val="32"/>
        </w:rPr>
        <w:t>00万以内，年底实际使用1</w:t>
      </w:r>
      <w:r>
        <w:rPr>
          <w:rFonts w:hint="eastAsia" w:ascii="仿宋" w:hAnsi="仿宋" w:eastAsia="仿宋" w:cs="仿宋"/>
          <w:szCs w:val="32"/>
          <w:lang w:val="en-US" w:eastAsia="zh-CN"/>
        </w:rPr>
        <w:t>300.47</w:t>
      </w:r>
      <w:r>
        <w:rPr>
          <w:rFonts w:hint="eastAsia" w:ascii="仿宋" w:hAnsi="仿宋" w:eastAsia="仿宋" w:cs="仿宋"/>
          <w:szCs w:val="32"/>
        </w:rPr>
        <w:t>万。全年产出指标全部按照年初计划完成任务，很好的维护了</w:t>
      </w:r>
      <w:r>
        <w:rPr>
          <w:rFonts w:hint="eastAsia" w:ascii="仿宋" w:hAnsi="仿宋" w:eastAsia="仿宋" w:cs="仿宋"/>
          <w:szCs w:val="32"/>
          <w:lang w:val="zh-CN"/>
        </w:rPr>
        <w:t>法律公平公正，人文关怀，</w:t>
      </w:r>
      <w:r>
        <w:rPr>
          <w:rFonts w:hint="eastAsia" w:ascii="仿宋" w:hAnsi="仿宋" w:eastAsia="仿宋" w:cs="仿宋"/>
          <w:szCs w:val="32"/>
        </w:rPr>
        <w:t>有效化解部分法律纠纷和社会矛盾，维护社会公平正义，对建设法治海南和平安海南起到了积极的促进作用</w:t>
      </w:r>
      <w:r>
        <w:rPr>
          <w:rFonts w:hint="eastAsia" w:ascii="仿宋" w:hAnsi="仿宋" w:eastAsia="仿宋" w:cs="仿宋"/>
          <w:bCs/>
          <w:kern w:val="0"/>
          <w:szCs w:val="32"/>
          <w:lang w:val="zh-CN"/>
        </w:rPr>
        <w:t>，更好的促进了海南自贸区港审判业务的发展。</w:t>
      </w:r>
    </w:p>
    <w:p>
      <w:pPr>
        <w:spacing w:line="520" w:lineRule="exact"/>
        <w:ind w:firstLine="600" w:firstLineChars="200"/>
        <w:rPr>
          <w:rFonts w:ascii="仿宋" w:hAnsi="仿宋" w:eastAsia="仿宋" w:cs="仿宋"/>
          <w:szCs w:val="32"/>
        </w:rPr>
      </w:pPr>
      <w:r>
        <w:rPr>
          <w:rFonts w:hint="eastAsia" w:ascii="仿宋" w:hAnsi="仿宋" w:eastAsia="仿宋" w:cs="仿宋"/>
          <w:szCs w:val="32"/>
        </w:rPr>
        <w:t>2.项目的经济性分析</w:t>
      </w:r>
    </w:p>
    <w:p>
      <w:pPr>
        <w:spacing w:line="520" w:lineRule="exact"/>
        <w:ind w:firstLine="450" w:firstLineChars="150"/>
        <w:rPr>
          <w:rFonts w:ascii="仿宋" w:hAnsi="仿宋" w:eastAsia="仿宋" w:cs="仿宋"/>
          <w:szCs w:val="32"/>
        </w:rPr>
      </w:pPr>
      <w:r>
        <w:rPr>
          <w:rFonts w:hint="eastAsia" w:ascii="仿宋" w:hAnsi="仿宋" w:eastAsia="仿宋" w:cs="仿宋"/>
          <w:szCs w:val="32"/>
        </w:rPr>
        <w:t>（1）项目预算控制情况。20</w:t>
      </w:r>
      <w:r>
        <w:rPr>
          <w:rFonts w:hint="eastAsia" w:ascii="仿宋" w:hAnsi="仿宋" w:eastAsia="仿宋" w:cs="仿宋"/>
          <w:szCs w:val="32"/>
          <w:lang w:val="en-US" w:eastAsia="zh-CN"/>
        </w:rPr>
        <w:t>21</w:t>
      </w:r>
      <w:r>
        <w:rPr>
          <w:rFonts w:hint="eastAsia" w:ascii="仿宋" w:hAnsi="仿宋" w:eastAsia="仿宋" w:cs="仿宋"/>
          <w:szCs w:val="32"/>
        </w:rPr>
        <w:t>年预算编制1</w:t>
      </w:r>
      <w:r>
        <w:rPr>
          <w:rFonts w:hint="eastAsia" w:ascii="仿宋" w:hAnsi="仿宋" w:eastAsia="仿宋" w:cs="仿宋"/>
          <w:szCs w:val="32"/>
          <w:lang w:val="en-US" w:eastAsia="zh-CN"/>
        </w:rPr>
        <w:t>337.83</w:t>
      </w:r>
      <w:r>
        <w:rPr>
          <w:rFonts w:hint="eastAsia" w:ascii="仿宋" w:hAnsi="仿宋" w:eastAsia="仿宋" w:cs="仿宋"/>
          <w:szCs w:val="32"/>
        </w:rPr>
        <w:t>万，在预算执行过程中，严格控制预算，不超支，以预算定支出。</w:t>
      </w:r>
    </w:p>
    <w:p>
      <w:pPr>
        <w:spacing w:line="520" w:lineRule="exact"/>
        <w:ind w:firstLine="600" w:firstLineChars="200"/>
        <w:rPr>
          <w:rFonts w:ascii="仿宋" w:hAnsi="仿宋" w:eastAsia="仿宋" w:cs="仿宋"/>
          <w:szCs w:val="32"/>
        </w:rPr>
      </w:pPr>
      <w:r>
        <w:rPr>
          <w:rFonts w:hint="eastAsia" w:ascii="仿宋" w:hAnsi="仿宋" w:eastAsia="仿宋" w:cs="仿宋"/>
          <w:szCs w:val="32"/>
        </w:rPr>
        <w:t>（2）项目预算节约情况。此项目支付1</w:t>
      </w:r>
      <w:r>
        <w:rPr>
          <w:rFonts w:hint="eastAsia" w:ascii="仿宋" w:hAnsi="仿宋" w:eastAsia="仿宋" w:cs="仿宋"/>
          <w:szCs w:val="32"/>
          <w:lang w:val="en-US" w:eastAsia="zh-CN"/>
        </w:rPr>
        <w:t>300.47</w:t>
      </w:r>
      <w:r>
        <w:rPr>
          <w:rFonts w:hint="eastAsia" w:ascii="仿宋" w:hAnsi="仿宋" w:eastAsia="仿宋" w:cs="仿宋"/>
          <w:szCs w:val="32"/>
        </w:rPr>
        <w:t>万，完成率97%。</w:t>
      </w:r>
    </w:p>
    <w:p>
      <w:pPr>
        <w:spacing w:line="520" w:lineRule="exact"/>
        <w:ind w:firstLine="600" w:firstLineChars="200"/>
        <w:rPr>
          <w:rFonts w:ascii="仿宋" w:hAnsi="仿宋" w:eastAsia="仿宋" w:cs="仿宋"/>
          <w:szCs w:val="32"/>
        </w:rPr>
      </w:pPr>
      <w:r>
        <w:rPr>
          <w:rFonts w:hint="eastAsia" w:ascii="仿宋" w:hAnsi="仿宋" w:eastAsia="仿宋" w:cs="仿宋"/>
          <w:szCs w:val="32"/>
        </w:rPr>
        <w:t>3.项目效率性分析</w:t>
      </w:r>
    </w:p>
    <w:p>
      <w:pPr>
        <w:spacing w:line="520" w:lineRule="exact"/>
        <w:ind w:firstLine="600" w:firstLineChars="200"/>
        <w:rPr>
          <w:rFonts w:ascii="仿宋" w:hAnsi="仿宋" w:eastAsia="仿宋" w:cs="仿宋"/>
          <w:szCs w:val="32"/>
        </w:rPr>
      </w:pPr>
      <w:r>
        <w:rPr>
          <w:rFonts w:hint="eastAsia" w:ascii="仿宋" w:hAnsi="仿宋" w:eastAsia="仿宋" w:cs="仿宋"/>
          <w:szCs w:val="32"/>
        </w:rPr>
        <w:t>（1）项目实施进度。按照序时进度支付完成97%。</w:t>
      </w:r>
    </w:p>
    <w:p>
      <w:pPr>
        <w:spacing w:line="520" w:lineRule="exact"/>
        <w:ind w:firstLine="600" w:firstLineChars="200"/>
        <w:rPr>
          <w:rFonts w:ascii="仿宋" w:hAnsi="仿宋" w:eastAsia="仿宋" w:cs="仿宋"/>
          <w:szCs w:val="32"/>
        </w:rPr>
      </w:pPr>
      <w:r>
        <w:rPr>
          <w:rFonts w:hint="eastAsia" w:ascii="仿宋" w:hAnsi="仿宋" w:eastAsia="仿宋" w:cs="仿宋"/>
          <w:szCs w:val="32"/>
        </w:rPr>
        <w:t>（2）项目完成质量。项目的实施保证了司法审判业务的顺利开展，结案率增加，有赖于经费的充足保障。</w:t>
      </w:r>
    </w:p>
    <w:p>
      <w:pPr>
        <w:ind w:firstLine="600" w:firstLineChars="200"/>
        <w:rPr>
          <w:rFonts w:ascii="仿宋" w:hAnsi="仿宋" w:eastAsia="仿宋" w:cs="仿宋"/>
          <w:szCs w:val="32"/>
          <w:highlight w:val="none"/>
        </w:rPr>
      </w:pPr>
      <w:r>
        <w:rPr>
          <w:rFonts w:hint="eastAsia" w:ascii="仿宋" w:hAnsi="仿宋" w:eastAsia="仿宋" w:cs="仿宋"/>
          <w:szCs w:val="32"/>
          <w:highlight w:val="none"/>
        </w:rPr>
        <w:t>4.效益指标完成情况分析。</w:t>
      </w:r>
    </w:p>
    <w:p>
      <w:pPr>
        <w:spacing w:line="560" w:lineRule="exact"/>
        <w:ind w:firstLine="600" w:firstLineChars="200"/>
        <w:rPr>
          <w:rFonts w:ascii="仿宋" w:hAnsi="仿宋" w:eastAsia="仿宋" w:cs="仿宋"/>
          <w:szCs w:val="32"/>
        </w:rPr>
      </w:pPr>
      <w:r>
        <w:rPr>
          <w:rFonts w:hint="eastAsia" w:ascii="仿宋" w:hAnsi="仿宋" w:eastAsia="仿宋" w:cs="仿宋"/>
          <w:szCs w:val="32"/>
        </w:rPr>
        <w:t>海口海事法院本级转移支付资金经济效益指标计划单个案件花费政法经费2万元以下，年末实际花费</w:t>
      </w:r>
      <w:r>
        <w:rPr>
          <w:rFonts w:hint="eastAsia" w:ascii="仿宋" w:hAnsi="仿宋" w:eastAsia="仿宋" w:cs="仿宋"/>
          <w:szCs w:val="32"/>
          <w:lang w:val="en-US" w:eastAsia="zh-CN"/>
        </w:rPr>
        <w:t>0.84</w:t>
      </w:r>
      <w:r>
        <w:rPr>
          <w:rFonts w:hint="eastAsia" w:ascii="仿宋" w:hAnsi="仿宋" w:eastAsia="仿宋" w:cs="仿宋"/>
          <w:szCs w:val="32"/>
        </w:rPr>
        <w:t>万元；社会效益指标计划案件调解率完成10%以上，年末实际完成</w:t>
      </w:r>
      <w:r>
        <w:rPr>
          <w:rFonts w:hint="eastAsia" w:ascii="仿宋" w:hAnsi="仿宋" w:eastAsia="仿宋" w:cs="仿宋"/>
          <w:szCs w:val="32"/>
          <w:lang w:val="en-US" w:eastAsia="zh-CN"/>
        </w:rPr>
        <w:t>10.47</w:t>
      </w:r>
      <w:r>
        <w:rPr>
          <w:rFonts w:hint="eastAsia" w:ascii="仿宋" w:hAnsi="仿宋" w:eastAsia="仿宋" w:cs="仿宋"/>
          <w:szCs w:val="32"/>
        </w:rPr>
        <w:t>%；生态效益指标计划全年工作过程中不对生态环境造成不良影响，最终不仅未对生态环境造成不良影响，还办理了</w:t>
      </w:r>
      <w:r>
        <w:rPr>
          <w:rFonts w:hint="eastAsia" w:ascii="仿宋" w:hAnsi="仿宋" w:eastAsia="仿宋" w:cs="仿宋"/>
          <w:szCs w:val="32"/>
          <w:lang w:eastAsia="zh-CN"/>
        </w:rPr>
        <w:t>几件</w:t>
      </w:r>
      <w:r>
        <w:rPr>
          <w:rFonts w:hint="eastAsia" w:ascii="仿宋" w:hAnsi="仿宋" w:eastAsia="仿宋" w:cs="仿宋"/>
          <w:szCs w:val="32"/>
        </w:rPr>
        <w:t>海南海洋行政公益诉讼，海南是海洋大省，一直将发展海洋经济作为谋求自身发展的重要着力点，海洋生态文明建设也是国家生态文明建设的重要组成部分，我院依法行使监督权，为打击、遏制非法捕捞行为的蔓延态势提供了司法支持，同时，对监督行政机关依法行政、提高行政机关执法水平起到了积极的作用；可持续影响指标计划恢复执行案件50件以上，年末完成</w:t>
      </w:r>
      <w:r>
        <w:rPr>
          <w:rFonts w:hint="eastAsia" w:ascii="仿宋" w:hAnsi="仿宋" w:eastAsia="仿宋" w:cs="仿宋"/>
          <w:szCs w:val="32"/>
          <w:lang w:val="en-US" w:eastAsia="zh-CN"/>
        </w:rPr>
        <w:t>67</w:t>
      </w:r>
      <w:r>
        <w:rPr>
          <w:rFonts w:hint="eastAsia" w:ascii="仿宋" w:hAnsi="仿宋" w:eastAsia="仿宋" w:cs="仿宋"/>
          <w:szCs w:val="32"/>
        </w:rPr>
        <w:t>件。</w:t>
      </w:r>
    </w:p>
    <w:p>
      <w:pPr>
        <w:spacing w:line="560" w:lineRule="exact"/>
        <w:ind w:firstLine="600" w:firstLineChars="200"/>
        <w:rPr>
          <w:rFonts w:ascii="仿宋" w:hAnsi="仿宋" w:eastAsia="仿宋" w:cs="仿宋"/>
        </w:rPr>
      </w:pPr>
      <w:r>
        <w:rPr>
          <w:rFonts w:hint="eastAsia" w:ascii="仿宋" w:hAnsi="仿宋" w:eastAsia="仿宋" w:cs="仿宋"/>
          <w:szCs w:val="32"/>
        </w:rPr>
        <w:t>我院工作持续对社会有着积极的影响力，促进海南自贸区港建设、捍卫我国领土最南端司法权益。</w:t>
      </w:r>
    </w:p>
    <w:p>
      <w:pPr>
        <w:ind w:firstLine="600" w:firstLineChars="200"/>
        <w:rPr>
          <w:rFonts w:ascii="仿宋" w:hAnsi="仿宋" w:eastAsia="仿宋" w:cs="仿宋"/>
          <w:szCs w:val="32"/>
        </w:rPr>
      </w:pPr>
      <w:r>
        <w:rPr>
          <w:rFonts w:hint="eastAsia" w:ascii="仿宋" w:hAnsi="仿宋" w:eastAsia="仿宋" w:cs="仿宋"/>
          <w:szCs w:val="32"/>
        </w:rPr>
        <w:t>5.满意度指标完成情况分析。</w:t>
      </w:r>
    </w:p>
    <w:p>
      <w:pPr>
        <w:spacing w:line="560" w:lineRule="exact"/>
        <w:ind w:firstLine="600" w:firstLineChars="200"/>
        <w:rPr>
          <w:rFonts w:ascii="仿宋" w:hAnsi="仿宋" w:eastAsia="仿宋" w:cs="仿宋"/>
          <w:bCs/>
          <w:kern w:val="0"/>
          <w:szCs w:val="32"/>
          <w:lang w:val="zh-CN"/>
        </w:rPr>
      </w:pPr>
      <w:r>
        <w:rPr>
          <w:rFonts w:hint="eastAsia" w:ascii="仿宋" w:hAnsi="仿宋" w:eastAsia="仿宋" w:cs="仿宋"/>
          <w:szCs w:val="32"/>
        </w:rPr>
        <w:t>全院干警、劳务派遣及食堂人员对我院工作满意度达95%，案件当事人得到司法救助和进行调解后，能够及时解决困难和问题，对案件办理结果满意度较高</w:t>
      </w:r>
      <w:r>
        <w:rPr>
          <w:rFonts w:hint="eastAsia" w:ascii="仿宋" w:hAnsi="仿宋" w:eastAsia="仿宋" w:cs="仿宋"/>
          <w:bCs/>
          <w:kern w:val="0"/>
          <w:szCs w:val="32"/>
          <w:lang w:val="zh-CN"/>
        </w:rPr>
        <w:t>。社会公众对我院工作给予了高度肯定，满意度达95%。</w:t>
      </w:r>
    </w:p>
    <w:p>
      <w:pPr>
        <w:ind w:firstLine="600" w:firstLineChars="200"/>
        <w:rPr>
          <w:rFonts w:ascii="仿宋_GB2312"/>
          <w:szCs w:val="32"/>
        </w:rPr>
      </w:pPr>
      <w:r>
        <w:rPr>
          <w:rFonts w:hint="eastAsia" w:ascii="黑体" w:hAnsi="黑体" w:eastAsia="黑体" w:cs="黑体"/>
          <w:bCs/>
          <w:szCs w:val="32"/>
        </w:rPr>
        <w:t>三、偏离绩效目标的原因和下一步改进措施</w:t>
      </w:r>
    </w:p>
    <w:p>
      <w:pPr>
        <w:ind w:firstLine="600" w:firstLineChars="200"/>
        <w:rPr>
          <w:rFonts w:ascii="仿宋_GB2312"/>
          <w:szCs w:val="32"/>
        </w:rPr>
      </w:pPr>
      <w:r>
        <w:rPr>
          <w:rFonts w:hint="eastAsia" w:ascii="仿宋_GB2312"/>
          <w:szCs w:val="32"/>
        </w:rPr>
        <w:t>海口海事法院本级在20</w:t>
      </w:r>
      <w:r>
        <w:rPr>
          <w:rFonts w:hint="eastAsia" w:ascii="仿宋_GB2312"/>
          <w:szCs w:val="32"/>
          <w:lang w:val="en-US" w:eastAsia="zh-CN"/>
        </w:rPr>
        <w:t>21</w:t>
      </w:r>
      <w:r>
        <w:rPr>
          <w:rFonts w:hint="eastAsia" w:ascii="仿宋_GB2312"/>
          <w:szCs w:val="32"/>
        </w:rPr>
        <w:t>年很好的完成了总体绩效目标和各项绩效指标，并且在20</w:t>
      </w:r>
      <w:r>
        <w:rPr>
          <w:rFonts w:hint="eastAsia" w:ascii="仿宋_GB2312"/>
          <w:szCs w:val="32"/>
          <w:lang w:val="en-US" w:eastAsia="zh-CN"/>
        </w:rPr>
        <w:t>21</w:t>
      </w:r>
      <w:r>
        <w:rPr>
          <w:rFonts w:hint="eastAsia" w:ascii="仿宋_GB2312"/>
          <w:szCs w:val="32"/>
        </w:rPr>
        <w:t>年</w:t>
      </w:r>
      <w:r>
        <w:rPr>
          <w:rFonts w:hint="eastAsia" w:ascii="仿宋_GB2312"/>
          <w:szCs w:val="32"/>
          <w:lang w:eastAsia="zh-CN"/>
        </w:rPr>
        <w:t>一宗案例入选最高法生物多样性保护专题指导性案例</w:t>
      </w:r>
      <w:r>
        <w:rPr>
          <w:rFonts w:hint="eastAsia" w:ascii="仿宋_GB2312"/>
          <w:szCs w:val="32"/>
          <w:highlight w:val="none"/>
          <w:lang w:eastAsia="zh-CN"/>
        </w:rPr>
        <w:t>。</w:t>
      </w:r>
      <w:r>
        <w:rPr>
          <w:rFonts w:hint="eastAsia" w:ascii="仿宋_GB2312"/>
          <w:szCs w:val="32"/>
        </w:rPr>
        <w:t>我院将继续强化预算执行，加强项目资金监管等措施，确保项目实施安全、高效的完成，更好的</w:t>
      </w:r>
      <w:r>
        <w:rPr>
          <w:rFonts w:hint="eastAsia" w:ascii="仿宋_GB2312"/>
          <w:szCs w:val="32"/>
          <w:lang w:eastAsia="zh-CN"/>
        </w:rPr>
        <w:t>保障</w:t>
      </w:r>
      <w:r>
        <w:rPr>
          <w:rFonts w:hint="eastAsia" w:ascii="仿宋_GB2312"/>
          <w:szCs w:val="32"/>
        </w:rPr>
        <w:t>审判执行工作顺利开展。</w:t>
      </w:r>
    </w:p>
    <w:p>
      <w:pPr>
        <w:ind w:firstLine="600" w:firstLineChars="200"/>
        <w:rPr>
          <w:rFonts w:ascii="黑体" w:hAnsi="黑体" w:eastAsia="黑体" w:cs="黑体"/>
          <w:bCs/>
          <w:szCs w:val="32"/>
        </w:rPr>
      </w:pPr>
      <w:r>
        <w:rPr>
          <w:rFonts w:hint="eastAsia" w:ascii="黑体" w:hAnsi="黑体" w:eastAsia="黑体" w:cs="黑体"/>
          <w:bCs/>
          <w:szCs w:val="32"/>
        </w:rPr>
        <w:t>四、绩效自评结果拟应用和公开情况</w:t>
      </w:r>
    </w:p>
    <w:p>
      <w:pPr>
        <w:ind w:firstLine="600" w:firstLineChars="200"/>
        <w:rPr>
          <w:rFonts w:ascii="黑体" w:hAnsi="黑体" w:eastAsia="黑体" w:cs="黑体"/>
          <w:bCs/>
          <w:szCs w:val="32"/>
        </w:rPr>
      </w:pPr>
      <w:r>
        <w:rPr>
          <w:rFonts w:hint="eastAsia" w:ascii="仿宋" w:hAnsi="仿宋" w:eastAsia="仿宋" w:cs="仿宋"/>
          <w:bCs/>
          <w:szCs w:val="32"/>
        </w:rPr>
        <w:t>我院将按要求及时公开政法纪检监察转移支付绩效自评结果，严格按照项目绩效自评情况提高项目执行效果，加快预算执行，确保项目资金取得良好的经济效益和社会效益，以及服务对象的高度满意。</w:t>
      </w:r>
    </w:p>
    <w:p>
      <w:pPr>
        <w:ind w:firstLine="600" w:firstLineChars="200"/>
        <w:rPr>
          <w:rFonts w:ascii="黑体" w:hAnsi="黑体" w:eastAsia="黑体" w:cs="黑体"/>
          <w:bCs/>
          <w:szCs w:val="32"/>
        </w:rPr>
      </w:pPr>
      <w:r>
        <w:rPr>
          <w:rFonts w:hint="eastAsia" w:ascii="黑体" w:hAnsi="黑体" w:eastAsia="黑体" w:cs="黑体"/>
          <w:bCs/>
          <w:szCs w:val="32"/>
        </w:rPr>
        <w:t>五、其他需要说明的问题</w:t>
      </w:r>
    </w:p>
    <w:p>
      <w:pPr>
        <w:ind w:firstLine="600" w:firstLineChars="200"/>
      </w:pPr>
      <w:r>
        <w:rPr>
          <w:rFonts w:hint="eastAsia"/>
        </w:rPr>
        <w:t>无。</w:t>
      </w:r>
    </w:p>
    <w:p>
      <w:pPr>
        <w:ind w:firstLine="600" w:firstLineChars="200"/>
      </w:pPr>
    </w:p>
    <w:p>
      <w:pPr>
        <w:ind w:firstLine="600" w:firstLineChars="200"/>
        <w:rPr>
          <w:rFonts w:ascii="仿宋" w:hAnsi="仿宋" w:eastAsia="仿宋" w:cs="仿宋"/>
          <w:bCs/>
          <w:szCs w:val="32"/>
        </w:rPr>
      </w:pPr>
      <w:r>
        <w:rPr>
          <w:rFonts w:hint="eastAsia"/>
        </w:rPr>
        <w:t>附：海口海事法院</w:t>
      </w:r>
      <w:r>
        <w:rPr>
          <w:rFonts w:hint="eastAsia" w:ascii="仿宋" w:hAnsi="仿宋" w:eastAsia="仿宋" w:cs="仿宋"/>
          <w:bCs/>
          <w:szCs w:val="32"/>
        </w:rPr>
        <w:t>政法纪检监察转移支付区域（项目）绩效目标自评表</w:t>
      </w:r>
    </w:p>
    <w:p>
      <w:pPr>
        <w:ind w:firstLine="600" w:firstLineChars="200"/>
      </w:pPr>
    </w:p>
    <w:p>
      <w:pPr>
        <w:ind w:firstLine="600" w:firstLineChars="200"/>
      </w:pPr>
    </w:p>
    <w:p>
      <w:pPr>
        <w:ind w:firstLine="600" w:firstLineChars="200"/>
      </w:pPr>
    </w:p>
    <w:p>
      <w:pPr>
        <w:ind w:firstLine="600" w:firstLineChars="200"/>
      </w:pPr>
      <w:r>
        <w:rPr>
          <w:rFonts w:hint="eastAsia"/>
        </w:rPr>
        <w:t xml:space="preserve">                                   海口海事法院</w:t>
      </w:r>
    </w:p>
    <w:p>
      <w:pPr>
        <w:ind w:firstLine="600" w:firstLineChars="200"/>
      </w:pPr>
      <w:r>
        <w:rPr>
          <w:rFonts w:hint="eastAsia"/>
        </w:rPr>
        <w:t xml:space="preserve">                                  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20</w:t>
      </w:r>
      <w:bookmarkStart w:id="0" w:name="_GoBack"/>
      <w:bookmarkEnd w:id="0"/>
      <w:r>
        <w:rPr>
          <w:rFonts w:hint="eastAsia"/>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0854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F82"/>
    <w:rsid w:val="000101E1"/>
    <w:rsid w:val="000732DA"/>
    <w:rsid w:val="00075CDC"/>
    <w:rsid w:val="000B1E8F"/>
    <w:rsid w:val="000B6964"/>
    <w:rsid w:val="00103D16"/>
    <w:rsid w:val="00111638"/>
    <w:rsid w:val="00111928"/>
    <w:rsid w:val="0012041C"/>
    <w:rsid w:val="00143419"/>
    <w:rsid w:val="001440C7"/>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40ED5"/>
    <w:rsid w:val="003663A3"/>
    <w:rsid w:val="00367A7D"/>
    <w:rsid w:val="00373809"/>
    <w:rsid w:val="00387DD5"/>
    <w:rsid w:val="003A072B"/>
    <w:rsid w:val="003B0980"/>
    <w:rsid w:val="003B4164"/>
    <w:rsid w:val="003C6374"/>
    <w:rsid w:val="003D2CB9"/>
    <w:rsid w:val="003E43CD"/>
    <w:rsid w:val="00413F12"/>
    <w:rsid w:val="0046205A"/>
    <w:rsid w:val="00493012"/>
    <w:rsid w:val="004B3674"/>
    <w:rsid w:val="004C219F"/>
    <w:rsid w:val="004D2137"/>
    <w:rsid w:val="00543251"/>
    <w:rsid w:val="005B4783"/>
    <w:rsid w:val="005D1514"/>
    <w:rsid w:val="005D7CC3"/>
    <w:rsid w:val="006218A1"/>
    <w:rsid w:val="00652D3D"/>
    <w:rsid w:val="00682A10"/>
    <w:rsid w:val="006A30E4"/>
    <w:rsid w:val="006A74BF"/>
    <w:rsid w:val="006C1CEE"/>
    <w:rsid w:val="006D5A86"/>
    <w:rsid w:val="00707C2E"/>
    <w:rsid w:val="00717D27"/>
    <w:rsid w:val="00722A7D"/>
    <w:rsid w:val="00724A6B"/>
    <w:rsid w:val="00727783"/>
    <w:rsid w:val="0073331B"/>
    <w:rsid w:val="00733C2D"/>
    <w:rsid w:val="00741AD5"/>
    <w:rsid w:val="00756C7F"/>
    <w:rsid w:val="00774EAB"/>
    <w:rsid w:val="007B7B13"/>
    <w:rsid w:val="007D7E6E"/>
    <w:rsid w:val="00850797"/>
    <w:rsid w:val="00853FC4"/>
    <w:rsid w:val="00855903"/>
    <w:rsid w:val="008720F1"/>
    <w:rsid w:val="00882EFA"/>
    <w:rsid w:val="008B2F56"/>
    <w:rsid w:val="008C31B3"/>
    <w:rsid w:val="008E2824"/>
    <w:rsid w:val="008F0996"/>
    <w:rsid w:val="00903791"/>
    <w:rsid w:val="009600BD"/>
    <w:rsid w:val="00961C83"/>
    <w:rsid w:val="009922BC"/>
    <w:rsid w:val="009E0D8C"/>
    <w:rsid w:val="00A02AF3"/>
    <w:rsid w:val="00A2328C"/>
    <w:rsid w:val="00A25077"/>
    <w:rsid w:val="00A610CC"/>
    <w:rsid w:val="00A8737E"/>
    <w:rsid w:val="00AA19AF"/>
    <w:rsid w:val="00AB0664"/>
    <w:rsid w:val="00AE0AC1"/>
    <w:rsid w:val="00B1332E"/>
    <w:rsid w:val="00B525F8"/>
    <w:rsid w:val="00B5310D"/>
    <w:rsid w:val="00BC6882"/>
    <w:rsid w:val="00BD3FE0"/>
    <w:rsid w:val="00BD6487"/>
    <w:rsid w:val="00BE58CF"/>
    <w:rsid w:val="00C74E37"/>
    <w:rsid w:val="00CA5578"/>
    <w:rsid w:val="00CA7DAA"/>
    <w:rsid w:val="00D03AE1"/>
    <w:rsid w:val="00D04826"/>
    <w:rsid w:val="00D63908"/>
    <w:rsid w:val="00D8718A"/>
    <w:rsid w:val="00D93453"/>
    <w:rsid w:val="00DC524D"/>
    <w:rsid w:val="00DD14E3"/>
    <w:rsid w:val="00E071D6"/>
    <w:rsid w:val="00E747DC"/>
    <w:rsid w:val="00EC0777"/>
    <w:rsid w:val="00ED3E0F"/>
    <w:rsid w:val="00F015E4"/>
    <w:rsid w:val="00F57F82"/>
    <w:rsid w:val="00F75224"/>
    <w:rsid w:val="00F75667"/>
    <w:rsid w:val="00F7761B"/>
    <w:rsid w:val="00F91EAE"/>
    <w:rsid w:val="00FA086C"/>
    <w:rsid w:val="00FA2093"/>
    <w:rsid w:val="00FA2133"/>
    <w:rsid w:val="00FA357A"/>
    <w:rsid w:val="037D0BC8"/>
    <w:rsid w:val="0746481D"/>
    <w:rsid w:val="0845082D"/>
    <w:rsid w:val="09E965F2"/>
    <w:rsid w:val="139840D3"/>
    <w:rsid w:val="143E091F"/>
    <w:rsid w:val="14865FC8"/>
    <w:rsid w:val="150C2DB0"/>
    <w:rsid w:val="19994B6B"/>
    <w:rsid w:val="1E761F05"/>
    <w:rsid w:val="1FC7205C"/>
    <w:rsid w:val="228B3D05"/>
    <w:rsid w:val="247B57DF"/>
    <w:rsid w:val="284E74F8"/>
    <w:rsid w:val="29324C4D"/>
    <w:rsid w:val="2ADB48E8"/>
    <w:rsid w:val="33B32389"/>
    <w:rsid w:val="36687282"/>
    <w:rsid w:val="38EF7AD8"/>
    <w:rsid w:val="3D45094F"/>
    <w:rsid w:val="3D6C66E4"/>
    <w:rsid w:val="3E1672E6"/>
    <w:rsid w:val="41112F48"/>
    <w:rsid w:val="415F08D8"/>
    <w:rsid w:val="42A639CA"/>
    <w:rsid w:val="44E2230F"/>
    <w:rsid w:val="48B51347"/>
    <w:rsid w:val="491B45FA"/>
    <w:rsid w:val="4A55216A"/>
    <w:rsid w:val="4DF55133"/>
    <w:rsid w:val="4FE0696A"/>
    <w:rsid w:val="52194A8E"/>
    <w:rsid w:val="553A4AC5"/>
    <w:rsid w:val="55673508"/>
    <w:rsid w:val="55EF1798"/>
    <w:rsid w:val="56265170"/>
    <w:rsid w:val="582B6D7E"/>
    <w:rsid w:val="59595A6F"/>
    <w:rsid w:val="599330CA"/>
    <w:rsid w:val="5A3C010B"/>
    <w:rsid w:val="5C345EC6"/>
    <w:rsid w:val="606852B0"/>
    <w:rsid w:val="60D5009F"/>
    <w:rsid w:val="64AC2E11"/>
    <w:rsid w:val="660721C9"/>
    <w:rsid w:val="661E6C75"/>
    <w:rsid w:val="66532963"/>
    <w:rsid w:val="67F75FF5"/>
    <w:rsid w:val="681D4831"/>
    <w:rsid w:val="682110EC"/>
    <w:rsid w:val="692E4B19"/>
    <w:rsid w:val="69513EF7"/>
    <w:rsid w:val="6BF3256F"/>
    <w:rsid w:val="6C67643B"/>
    <w:rsid w:val="6CE7018A"/>
    <w:rsid w:val="6E3E3F2D"/>
    <w:rsid w:val="6F4336BD"/>
    <w:rsid w:val="71514952"/>
    <w:rsid w:val="715B2F02"/>
    <w:rsid w:val="76A548F2"/>
    <w:rsid w:val="7765772E"/>
    <w:rsid w:val="77867685"/>
    <w:rsid w:val="781F36B6"/>
    <w:rsid w:val="790627AD"/>
    <w:rsid w:val="7ADC59FA"/>
    <w:rsid w:val="7DDD7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eastAsia="仿宋_GB2312"/>
      <w:kern w:val="2"/>
      <w:sz w:val="18"/>
      <w:szCs w:val="18"/>
    </w:rPr>
  </w:style>
  <w:style w:type="character" w:customStyle="1" w:styleId="8">
    <w:name w:val="页眉 Char"/>
    <w:basedOn w:val="5"/>
    <w:link w:val="4"/>
    <w:qFormat/>
    <w:uiPriority w:val="0"/>
    <w:rPr>
      <w:rFonts w:eastAsia="仿宋_GB2312"/>
      <w:kern w:val="2"/>
      <w:sz w:val="18"/>
      <w:szCs w:val="18"/>
    </w:rPr>
  </w:style>
  <w:style w:type="character" w:customStyle="1" w:styleId="9">
    <w:name w:val="批注框文本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34020-2A77-4F97-B3F8-D0EAAAEA41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385</Words>
  <Characters>2199</Characters>
  <Lines>18</Lines>
  <Paragraphs>5</Paragraphs>
  <ScaleCrop>false</ScaleCrop>
  <LinksUpToDate>false</LinksUpToDate>
  <CharactersWithSpaces>2579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2019-02-12T06:26:00Z</dcterms:created>
  <dc:creator>lhn</dc:creator>
  <cp:lastModifiedBy>lenovo</cp:lastModifiedBy>
  <cp:lastPrinted>2020-02-28T05:55:00Z</cp:lastPrinted>
  <dcterms:modified xsi:type="dcterms:W3CDTF">2022-03-24T08:04:57Z</dcterms:modified>
  <dc:title>财政支出绩效评价报告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