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r>
        <w:drawing>
          <wp:anchor distT="0" distB="0" distL="114300" distR="114300" simplePos="0" relativeHeight="251659264" behindDoc="0" locked="0" layoutInCell="1" allowOverlap="1">
            <wp:simplePos x="0" y="0"/>
            <wp:positionH relativeFrom="column">
              <wp:align>center</wp:align>
            </wp:positionH>
            <wp:positionV relativeFrom="paragraph">
              <wp:posOffset>620395</wp:posOffset>
            </wp:positionV>
            <wp:extent cx="1075690" cy="1094105"/>
            <wp:effectExtent l="0" t="0" r="10160" b="10795"/>
            <wp:wrapNone/>
            <wp:docPr id="1" name="图片 2" descr="海口海事法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海口海事法院LOGO"/>
                    <pic:cNvPicPr>
                      <a:picLocks noChangeAspect="1"/>
                    </pic:cNvPicPr>
                  </pic:nvPicPr>
                  <pic:blipFill>
                    <a:blip r:embed="rId4"/>
                    <a:stretch>
                      <a:fillRect/>
                    </a:stretch>
                  </pic:blipFill>
                  <pic:spPr>
                    <a:xfrm>
                      <a:off x="0" y="0"/>
                      <a:ext cx="1075690" cy="1094105"/>
                    </a:xfrm>
                    <a:prstGeom prst="rect">
                      <a:avLst/>
                    </a:prstGeom>
                    <a:noFill/>
                    <a:ln>
                      <a:noFill/>
                    </a:ln>
                  </pic:spPr>
                </pic:pic>
              </a:graphicData>
            </a:graphic>
          </wp:anchor>
        </w:drawing>
      </w:r>
    </w:p>
    <w:p>
      <w:pPr>
        <w:rPr>
          <w:sz w:val="84"/>
          <w:szCs w:val="84"/>
          <w:u w:val="single"/>
        </w:rPr>
      </w:pPr>
    </w:p>
    <w:p>
      <w:pPr>
        <w:rPr>
          <w:sz w:val="84"/>
          <w:szCs w:val="84"/>
          <w:u w:val="single"/>
        </w:rPr>
      </w:pPr>
    </w:p>
    <w:p>
      <w:pPr>
        <w:rPr>
          <w:sz w:val="84"/>
          <w:szCs w:val="84"/>
          <w:u w:val="single"/>
        </w:rPr>
      </w:pPr>
    </w:p>
    <w:p>
      <w:pPr>
        <w:jc w:val="center"/>
        <w:rPr>
          <w:rFonts w:ascii="华文中宋" w:hAnsi="华文中宋" w:eastAsia="华文中宋"/>
          <w:b/>
          <w:sz w:val="86"/>
          <w:szCs w:val="86"/>
        </w:rPr>
      </w:pPr>
      <w:r>
        <w:rPr>
          <w:rFonts w:hint="eastAsia" w:ascii="华文中宋" w:hAnsi="华文中宋" w:eastAsia="华文中宋"/>
          <w:b/>
          <w:sz w:val="86"/>
          <w:szCs w:val="86"/>
        </w:rPr>
        <w:t>2021年海口海事法院</w:t>
      </w:r>
    </w:p>
    <w:p>
      <w:pPr>
        <w:jc w:val="center"/>
        <w:rPr>
          <w:rFonts w:ascii="华文中宋" w:hAnsi="华文中宋" w:eastAsia="华文中宋"/>
          <w:b/>
          <w:sz w:val="86"/>
          <w:szCs w:val="86"/>
        </w:rPr>
      </w:pPr>
      <w:r>
        <w:rPr>
          <w:rFonts w:hint="eastAsia" w:ascii="华文中宋" w:hAnsi="华文中宋" w:eastAsia="华文中宋"/>
          <w:b/>
          <w:sz w:val="86"/>
          <w:szCs w:val="86"/>
        </w:rPr>
        <w:t>预算公开说明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  录</w:t>
      </w:r>
    </w:p>
    <w:p>
      <w:pPr>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政府性基金预算支出表（空白，无预算）</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政府性基金预算“三公”经费支出表（空白，无预算）</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12"/>
        <w:ind w:firstLine="560"/>
        <w:jc w:val="left"/>
        <w:rPr>
          <w:rFonts w:ascii="华文仿宋" w:hAnsi="华文仿宋" w:eastAsia="华文仿宋"/>
          <w:sz w:val="32"/>
          <w:szCs w:val="32"/>
        </w:rPr>
      </w:pPr>
      <w:r>
        <w:rPr>
          <w:rFonts w:hint="eastAsia" w:ascii="华文仿宋" w:hAnsi="华文仿宋" w:eastAsia="华文仿宋"/>
          <w:sz w:val="32"/>
          <w:szCs w:val="32"/>
        </w:rPr>
        <w:t>根据2021年海南省本级部门预算公开相关要求，我院包括部门本级及博鳌、八所、三亚、洋浦和三沙五个派出法庭的综合预算全部收支均在本级部门预算集中体现。现就有关预算情况说明如下：</w:t>
      </w: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单位概况</w:t>
      </w:r>
    </w:p>
    <w:p>
      <w:pPr>
        <w:pStyle w:val="7"/>
        <w:ind w:firstLine="640"/>
        <w:jc w:val="left"/>
        <w:rPr>
          <w:rFonts w:ascii="黑体" w:hAnsi="黑体" w:eastAsia="黑体" w:cs="仿宋_GB2312"/>
          <w:sz w:val="32"/>
          <w:szCs w:val="32"/>
        </w:rPr>
      </w:pPr>
      <w:r>
        <w:rPr>
          <w:rFonts w:hint="eastAsia" w:ascii="黑体" w:hAnsi="黑体" w:eastAsia="黑体" w:cs="仿宋_GB2312"/>
          <w:sz w:val="32"/>
          <w:szCs w:val="32"/>
        </w:rPr>
        <w:t>一、主要职能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海口海事法院是国家审判海事、海商案件的专门法院，管辖海南省所属港口和海域内发生的一审海事、海商方面的案件，依法独立行使审判权。其主要职责是：</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（1）依法审判由本院管辖的海事侵权、海商合同、海事行政、海事执行、海事请求保全，以及其他海事海商等第一审案件。</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（2）依法审判上级法院指定或交由本院审理的海事、海商等第一审案件。</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（3）受理不服本院判决、裁定的各类申诉案件，对其中确有错误的已经发生法律效力的判决、裁定进行再审。</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（4）依法审判由检察机关按照审判监督程序提出的抗诉案件。</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（5）依法行使司法执行权和司法决定权。</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（6）依法决定国家赔偿。</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（7）组织办理司法协助事项。</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（8）对相关法律、法规、规章等草案提出意见，针对案件审理中发现的问题提出司法建议。</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（9）负责本院的思想政治工作和教育培训工作，按照权限管理法官和其他工作人员。</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（10）负责本院的监察工作。</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（11）在业务工作中开展法制宣传。</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（12）承办其他应有本院负责的工作。</w:t>
      </w:r>
    </w:p>
    <w:p>
      <w:pPr>
        <w:pStyle w:val="7"/>
        <w:ind w:left="720" w:firstLine="0" w:firstLineChars="0"/>
        <w:jc w:val="left"/>
        <w:rPr>
          <w:rFonts w:ascii="黑体" w:hAnsi="黑体" w:eastAsia="黑体" w:cs="仿宋_GB2312"/>
          <w:sz w:val="32"/>
          <w:szCs w:val="32"/>
        </w:rPr>
      </w:pPr>
      <w:r>
        <w:rPr>
          <w:rFonts w:hint="eastAsia" w:ascii="黑体" w:hAnsi="黑体" w:eastAsia="黑体" w:cs="仿宋_GB2312"/>
          <w:sz w:val="32"/>
          <w:szCs w:val="32"/>
        </w:rPr>
        <w:t>二、部门预算单位构成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海口海事法院是海南省财政一级预算部门，部门预算编制范围没有二级预算单位。</w:t>
      </w:r>
    </w:p>
    <w:p>
      <w:pPr>
        <w:ind w:firstLine="640" w:firstLineChars="200"/>
        <w:rPr>
          <w:rFonts w:ascii="黑体" w:hAnsi="黑体" w:eastAsia="黑体"/>
          <w:sz w:val="32"/>
          <w:szCs w:val="32"/>
        </w:rPr>
      </w:pPr>
      <w:r>
        <w:rPr>
          <w:rFonts w:hint="eastAsia" w:ascii="黑体" w:hAnsi="黑体" w:eastAsia="黑体"/>
          <w:sz w:val="32"/>
          <w:szCs w:val="32"/>
        </w:rPr>
        <w:t>第二部分 单位预算表</w:t>
      </w:r>
    </w:p>
    <w:p>
      <w:pPr>
        <w:rPr>
          <w:rFonts w:ascii="仿宋_GB2312" w:hAnsi="黑体" w:eastAsia="仿宋_GB2312"/>
          <w:sz w:val="32"/>
          <w:szCs w:val="32"/>
        </w:rPr>
      </w:pPr>
      <w:r>
        <w:rPr>
          <w:rFonts w:hint="eastAsia" w:ascii="仿宋_GB2312" w:hAnsi="黑体" w:eastAsia="仿宋_GB2312"/>
          <w:sz w:val="32"/>
          <w:szCs w:val="32"/>
        </w:rPr>
        <w:t>（此部分内容请另见附件1: 2021部门预算公开表EXCEL版本）。</w:t>
      </w:r>
    </w:p>
    <w:p>
      <w:pPr>
        <w:ind w:firstLine="480" w:firstLineChars="150"/>
        <w:rPr>
          <w:rFonts w:ascii="黑体" w:hAnsi="黑体" w:eastAsia="黑体"/>
          <w:sz w:val="32"/>
          <w:szCs w:val="32"/>
        </w:rPr>
      </w:pPr>
      <w:r>
        <w:rPr>
          <w:rFonts w:hint="eastAsia" w:ascii="黑体" w:hAnsi="黑体" w:eastAsia="黑体"/>
          <w:sz w:val="32"/>
          <w:szCs w:val="32"/>
        </w:rPr>
        <w:t>第三部分  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一、2021年财政拨款收支预算情况的总体说明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我院</w:t>
      </w:r>
      <w:r>
        <w:rPr>
          <w:rFonts w:hint="eastAsia" w:ascii="仿宋_GB2312" w:hAnsi="黑体" w:eastAsia="仿宋_GB2312" w:cs="仿宋_GB2312"/>
          <w:sz w:val="32"/>
          <w:szCs w:val="32"/>
        </w:rPr>
        <w:t>2021</w:t>
      </w:r>
      <w:r>
        <w:rPr>
          <w:rFonts w:hint="eastAsia" w:ascii="仿宋_GB2312" w:hAnsi="黑体" w:eastAsia="仿宋_GB2312"/>
          <w:sz w:val="32"/>
          <w:szCs w:val="32"/>
        </w:rPr>
        <w:t>年财政拨款收支总预算6157.29万元。其中，收入总计</w:t>
      </w:r>
      <w:r>
        <w:rPr>
          <w:rFonts w:hint="eastAsia" w:ascii="仿宋_GB2312" w:hAnsi="黑体" w:eastAsia="仿宋_GB2312" w:cs="仿宋_GB2312"/>
          <w:sz w:val="32"/>
          <w:szCs w:val="32"/>
        </w:rPr>
        <w:t>6157.29</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6155.47</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1.82</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6157.29</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0</w:t>
      </w:r>
      <w:r>
        <w:rPr>
          <w:rFonts w:hint="eastAsia" w:ascii="仿宋_GB2312" w:hAnsi="黑体" w:eastAsia="仿宋_GB2312"/>
          <w:sz w:val="32"/>
          <w:szCs w:val="32"/>
        </w:rPr>
        <w:t>万元、公共安全支出</w:t>
      </w:r>
      <w:r>
        <w:rPr>
          <w:rFonts w:hint="eastAsia" w:ascii="仿宋_GB2312" w:hAnsi="黑体" w:eastAsia="仿宋_GB2312" w:cs="仿宋_GB2312"/>
          <w:sz w:val="32"/>
          <w:szCs w:val="32"/>
        </w:rPr>
        <w:t>5730.10</w:t>
      </w:r>
      <w:r>
        <w:rPr>
          <w:rFonts w:hint="eastAsia" w:ascii="仿宋_GB2312" w:hAnsi="黑体" w:eastAsia="仿宋_GB2312"/>
          <w:sz w:val="32"/>
          <w:szCs w:val="32"/>
        </w:rPr>
        <w:t>万元、社会保障和就业支出199.25万元、卫生健康支出94.19万元、住房保障支出133.76万元，结转下年0万元。</w:t>
      </w:r>
    </w:p>
    <w:p>
      <w:pPr>
        <w:ind w:firstLine="640"/>
        <w:jc w:val="left"/>
        <w:rPr>
          <w:rFonts w:ascii="黑体" w:hAnsi="黑体" w:eastAsia="黑体"/>
          <w:sz w:val="32"/>
          <w:szCs w:val="32"/>
        </w:rPr>
      </w:pPr>
      <w:r>
        <w:rPr>
          <w:rFonts w:hint="eastAsia" w:ascii="黑体" w:hAnsi="黑体" w:eastAsia="黑体"/>
          <w:sz w:val="32"/>
          <w:szCs w:val="32"/>
        </w:rPr>
        <w:t>二、关于2021年一般公共预算当年拨款情况说明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我院2021年一般公共预算当年拨款</w:t>
      </w:r>
      <w:r>
        <w:rPr>
          <w:rFonts w:hint="eastAsia" w:ascii="仿宋_GB2312" w:hAnsi="黑体" w:eastAsia="仿宋_GB2312" w:cs="仿宋_GB2312"/>
          <w:sz w:val="32"/>
          <w:szCs w:val="32"/>
        </w:rPr>
        <w:t>6155.47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62.17</w:t>
      </w:r>
      <w:r>
        <w:rPr>
          <w:rFonts w:hint="eastAsia" w:ascii="仿宋_GB2312" w:hAnsi="黑体" w:eastAsia="仿宋_GB2312"/>
          <w:sz w:val="32"/>
          <w:szCs w:val="32"/>
        </w:rPr>
        <w:t>万元，增幅1.02%。主要原因是基本支出预算对比上年增加273.13万元产生所致，即人员经费工资福利支出合理递增、社会保险缴费和机关运行经费增加。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一般公共预算当年拨款预算总支出6157.29万元。其中：公共安全支出（类）</w:t>
      </w:r>
      <w:r>
        <w:rPr>
          <w:rFonts w:hint="eastAsia" w:ascii="仿宋_GB2312" w:hAnsi="黑体" w:eastAsia="仿宋_GB2312" w:cs="仿宋_GB2312"/>
          <w:sz w:val="32"/>
          <w:szCs w:val="32"/>
        </w:rPr>
        <w:t>支出5730.10</w:t>
      </w:r>
      <w:r>
        <w:rPr>
          <w:rFonts w:hint="eastAsia" w:ascii="仿宋_GB2312" w:hAnsi="黑体" w:eastAsia="仿宋_GB2312"/>
          <w:sz w:val="32"/>
          <w:szCs w:val="32"/>
        </w:rPr>
        <w:t>万元，占</w:t>
      </w:r>
      <w:r>
        <w:rPr>
          <w:rFonts w:hint="eastAsia" w:ascii="仿宋_GB2312" w:hAnsi="黑体" w:eastAsia="仿宋_GB2312" w:cs="仿宋_GB2312"/>
          <w:sz w:val="32"/>
          <w:szCs w:val="32"/>
        </w:rPr>
        <w:t>93.06</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支出199.25</w:t>
      </w:r>
      <w:r>
        <w:rPr>
          <w:rFonts w:hint="eastAsia" w:ascii="仿宋_GB2312" w:hAnsi="黑体" w:eastAsia="仿宋_GB2312"/>
          <w:sz w:val="32"/>
          <w:szCs w:val="32"/>
        </w:rPr>
        <w:t>万元，占</w:t>
      </w:r>
      <w:r>
        <w:rPr>
          <w:rFonts w:hint="eastAsia" w:ascii="仿宋_GB2312" w:hAnsi="黑体" w:eastAsia="仿宋_GB2312" w:cs="仿宋_GB2312"/>
          <w:sz w:val="32"/>
          <w:szCs w:val="32"/>
        </w:rPr>
        <w:t>3.24</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支出94.19</w:t>
      </w:r>
      <w:r>
        <w:rPr>
          <w:rFonts w:hint="eastAsia" w:ascii="仿宋_GB2312" w:hAnsi="黑体" w:eastAsia="仿宋_GB2312"/>
          <w:sz w:val="32"/>
          <w:szCs w:val="32"/>
        </w:rPr>
        <w:t>万元，占1.53%；住房保障（类）</w:t>
      </w:r>
      <w:r>
        <w:rPr>
          <w:rFonts w:hint="eastAsia" w:ascii="仿宋_GB2312" w:hAnsi="黑体" w:eastAsia="仿宋_GB2312" w:cs="仿宋_GB2312"/>
          <w:sz w:val="32"/>
          <w:szCs w:val="32"/>
        </w:rPr>
        <w:t>支出133.76</w:t>
      </w:r>
      <w:r>
        <w:rPr>
          <w:rFonts w:hint="eastAsia" w:ascii="仿宋_GB2312" w:hAnsi="黑体" w:eastAsia="仿宋_GB2312"/>
          <w:sz w:val="32"/>
          <w:szCs w:val="32"/>
        </w:rPr>
        <w:t>万元，占2.17%。</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1.公共安全支出（类）法院（款）行政运行（项）2021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2416.17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增加257.72</w:t>
      </w:r>
      <w:r>
        <w:rPr>
          <w:rFonts w:hint="eastAsia" w:ascii="仿宋_GB2312" w:hAnsi="黑体" w:eastAsia="仿宋_GB2312"/>
          <w:sz w:val="32"/>
          <w:szCs w:val="32"/>
        </w:rPr>
        <w:t>万元，增幅11.94%。主要原因：一是人员经费在基本满编情况下工资福利预算合理递增；二是我院新办公大楼（原中法大厦维修改造完成）于2020年7月正常投入使用，司法行政运行刚性支出存在，物业管理服务、水电费、维修维护费等机关运行经费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公共安全支出（类）法院（款）案件审判（项）2021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40.70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增加2.20</w:t>
      </w:r>
      <w:r>
        <w:rPr>
          <w:rFonts w:hint="eastAsia" w:ascii="仿宋_GB2312" w:hAnsi="黑体" w:eastAsia="仿宋_GB2312"/>
          <w:sz w:val="32"/>
          <w:szCs w:val="32"/>
        </w:rPr>
        <w:t>万元，原因为每年承办案件量逐年增大，合理递增。</w:t>
      </w:r>
    </w:p>
    <w:p>
      <w:pPr>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公共安全支出（类）法院（款）案件执行（项）2021</w:t>
      </w:r>
      <w:r>
        <w:rPr>
          <w:rFonts w:hint="eastAsia" w:ascii="仿宋_GB2312" w:hAnsi="黑体" w:eastAsia="仿宋_GB2312"/>
          <w:sz w:val="32"/>
          <w:szCs w:val="32"/>
        </w:rPr>
        <w:t>年预算数为</w:t>
      </w:r>
      <w:r>
        <w:rPr>
          <w:rFonts w:hint="eastAsia" w:ascii="仿宋_GB2312" w:hAnsi="黑体" w:eastAsia="仿宋_GB2312" w:cs="仿宋_GB2312"/>
          <w:sz w:val="32"/>
          <w:szCs w:val="32"/>
        </w:rPr>
        <w:t>5.00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减少5</w:t>
      </w:r>
      <w:r>
        <w:rPr>
          <w:rFonts w:hint="eastAsia" w:ascii="仿宋_GB2312" w:hAnsi="黑体" w:eastAsia="仿宋_GB2312"/>
          <w:sz w:val="32"/>
          <w:szCs w:val="32"/>
        </w:rPr>
        <w:t>万元，原因为预算口径调整所致。</w:t>
      </w:r>
    </w:p>
    <w:p>
      <w:pPr>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公共安全支出（类）法院（款）两庭建设（项）2021</w:t>
      </w:r>
      <w:r>
        <w:rPr>
          <w:rFonts w:hint="eastAsia" w:ascii="仿宋_GB2312" w:hAnsi="黑体" w:eastAsia="仿宋_GB2312"/>
          <w:sz w:val="32"/>
          <w:szCs w:val="32"/>
        </w:rPr>
        <w:t>年预算数为1434.00万元，比上年预算数</w:t>
      </w:r>
      <w:r>
        <w:rPr>
          <w:rFonts w:hint="eastAsia" w:ascii="仿宋_GB2312" w:hAnsi="黑体" w:eastAsia="仿宋_GB2312" w:cs="仿宋_GB2312"/>
          <w:sz w:val="32"/>
          <w:szCs w:val="32"/>
        </w:rPr>
        <w:t>增加399.00</w:t>
      </w:r>
      <w:r>
        <w:rPr>
          <w:rFonts w:hint="eastAsia" w:ascii="仿宋_GB2312" w:hAnsi="黑体" w:eastAsia="仿宋_GB2312"/>
          <w:sz w:val="32"/>
          <w:szCs w:val="32"/>
        </w:rPr>
        <w:t>万元，增幅38.55%。主要原因为一次性项目派出法庭博鳌、八所和三亚法庭基建及配套设备政府采购预算支出产生所致。</w:t>
      </w:r>
    </w:p>
    <w:p>
      <w:pPr>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公共安全支出（类）法院（款）其他法院支出（项）2021</w:t>
      </w:r>
      <w:r>
        <w:rPr>
          <w:rFonts w:hint="eastAsia" w:ascii="仿宋_GB2312" w:hAnsi="黑体" w:eastAsia="仿宋_GB2312"/>
          <w:sz w:val="32"/>
          <w:szCs w:val="32"/>
        </w:rPr>
        <w:t>年预算数为1467.93万元，比上年预算数减少980.63万元，减幅40.05%。主要原因为该财务核算口径2020新办公楼即原中法大厦维修改造支出和两庭装备及更新项目包含的配套设备采购支出金额较大。</w:t>
      </w:r>
    </w:p>
    <w:p>
      <w:pPr>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社会保障和就业支出（类）行政事业单位养老（款）机关事业单位基本养老保险缴费支出（项）2021</w:t>
      </w:r>
      <w:r>
        <w:rPr>
          <w:rFonts w:hint="eastAsia" w:ascii="仿宋_GB2312" w:hAnsi="黑体" w:eastAsia="仿宋_GB2312"/>
          <w:sz w:val="32"/>
          <w:szCs w:val="32"/>
        </w:rPr>
        <w:t>年预算数为177.30万元，比上年预算数增加11.41万元，增幅6.88%。主要原因为2021年养老缴费基数对比上年调整增加产生所致。</w:t>
      </w:r>
    </w:p>
    <w:p>
      <w:pPr>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社会保障和就业支出（类）行政事业单位养老（款）机关事业单位职业年金缴费支出（项）2021</w:t>
      </w:r>
      <w:r>
        <w:rPr>
          <w:rFonts w:hint="eastAsia" w:ascii="仿宋_GB2312" w:hAnsi="黑体" w:eastAsia="仿宋_GB2312"/>
          <w:sz w:val="32"/>
          <w:szCs w:val="32"/>
        </w:rPr>
        <w:t>年预算数为20.15万元，此费用按照年度计划退休人员实际发生数经辖区社保机构系统测算得出。</w:t>
      </w:r>
    </w:p>
    <w:p>
      <w:pPr>
        <w:ind w:firstLine="640" w:firstLineChars="200"/>
        <w:rPr>
          <w:rFonts w:ascii="仿宋_GB2312" w:hAnsi="黑体" w:eastAsia="仿宋_GB2312"/>
          <w:sz w:val="32"/>
          <w:szCs w:val="32"/>
        </w:rPr>
      </w:pPr>
      <w:r>
        <w:rPr>
          <w:rFonts w:hint="eastAsia" w:ascii="仿宋_GB2312" w:hAnsi="黑体" w:eastAsia="仿宋_GB2312"/>
          <w:sz w:val="32"/>
          <w:szCs w:val="32"/>
        </w:rPr>
        <w:t>8、</w:t>
      </w:r>
      <w:r>
        <w:rPr>
          <w:rFonts w:hint="eastAsia" w:ascii="仿宋_GB2312" w:hAnsi="黑体" w:eastAsia="仿宋_GB2312" w:cs="仿宋_GB2312"/>
          <w:sz w:val="32"/>
          <w:szCs w:val="32"/>
        </w:rPr>
        <w:t>社会保障和就业支出（类）抚恤（款）其他优抚支出（项）2021</w:t>
      </w:r>
      <w:r>
        <w:rPr>
          <w:rFonts w:hint="eastAsia" w:ascii="仿宋_GB2312" w:hAnsi="黑体" w:eastAsia="仿宋_GB2312"/>
          <w:sz w:val="32"/>
          <w:szCs w:val="32"/>
        </w:rPr>
        <w:t>年预算数为1.80万元，忽略说明。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9、卫生健康</w:t>
      </w:r>
      <w:r>
        <w:rPr>
          <w:rFonts w:hint="eastAsia" w:ascii="仿宋_GB2312" w:hAnsi="黑体" w:eastAsia="仿宋_GB2312" w:cs="仿宋_GB2312"/>
          <w:sz w:val="32"/>
          <w:szCs w:val="32"/>
        </w:rPr>
        <w:t>支出（类）行政事业单位医疗（款）行政单位医疗（项）2021</w:t>
      </w:r>
      <w:r>
        <w:rPr>
          <w:rFonts w:hint="eastAsia" w:ascii="仿宋_GB2312" w:hAnsi="黑体" w:eastAsia="仿宋_GB2312"/>
          <w:sz w:val="32"/>
          <w:szCs w:val="32"/>
        </w:rPr>
        <w:t>年预算数为94.19万元，对比上年预算数增加6.06万元，增幅6.88%。原因为2021行政单位医疗缴费基数对比上年增加所致。</w:t>
      </w:r>
    </w:p>
    <w:p>
      <w:pPr>
        <w:ind w:firstLine="640" w:firstLineChars="200"/>
        <w:rPr>
          <w:rFonts w:ascii="仿宋_GB2312" w:hAnsi="黑体" w:eastAsia="仿宋_GB2312"/>
          <w:sz w:val="32"/>
          <w:szCs w:val="32"/>
        </w:rPr>
      </w:pPr>
      <w:r>
        <w:rPr>
          <w:rFonts w:hint="eastAsia" w:ascii="仿宋_GB2312" w:hAnsi="黑体" w:eastAsia="仿宋_GB2312"/>
          <w:sz w:val="32"/>
          <w:szCs w:val="32"/>
        </w:rPr>
        <w:t>10、住房改革</w:t>
      </w:r>
      <w:r>
        <w:rPr>
          <w:rFonts w:hint="eastAsia" w:ascii="仿宋_GB2312" w:hAnsi="黑体" w:eastAsia="仿宋_GB2312" w:cs="仿宋_GB2312"/>
          <w:sz w:val="32"/>
          <w:szCs w:val="32"/>
        </w:rPr>
        <w:t>支出（类）住房保障支出（款）住房公积金（项）2021</w:t>
      </w:r>
      <w:r>
        <w:rPr>
          <w:rFonts w:hint="eastAsia" w:ascii="仿宋_GB2312" w:hAnsi="黑体" w:eastAsia="仿宋_GB2312"/>
          <w:sz w:val="32"/>
          <w:szCs w:val="32"/>
        </w:rPr>
        <w:t>年预算数为129.54万元，对比上年预算数减少24.23万元，降幅15.76%。主要原因是公积金预算按照上年度个人平均应计工资基数实时计算，为固定测算数。</w:t>
      </w:r>
    </w:p>
    <w:p>
      <w:pPr>
        <w:ind w:firstLine="640" w:firstLineChars="200"/>
        <w:rPr>
          <w:rFonts w:ascii="仿宋_GB2312" w:hAnsi="黑体" w:eastAsia="仿宋_GB2312"/>
          <w:sz w:val="32"/>
          <w:szCs w:val="32"/>
        </w:rPr>
      </w:pPr>
      <w:r>
        <w:rPr>
          <w:rFonts w:hint="eastAsia" w:ascii="仿宋_GB2312" w:hAnsi="黑体" w:eastAsia="仿宋_GB2312"/>
          <w:sz w:val="32"/>
          <w:szCs w:val="32"/>
        </w:rPr>
        <w:t>11、住房改革</w:t>
      </w:r>
      <w:r>
        <w:rPr>
          <w:rFonts w:hint="eastAsia" w:ascii="仿宋_GB2312" w:hAnsi="黑体" w:eastAsia="仿宋_GB2312" w:cs="仿宋_GB2312"/>
          <w:sz w:val="32"/>
          <w:szCs w:val="32"/>
        </w:rPr>
        <w:t>支出（类）住房保障支出（款）购房补贴（项）2021</w:t>
      </w:r>
      <w:r>
        <w:rPr>
          <w:rFonts w:hint="eastAsia" w:ascii="仿宋_GB2312" w:hAnsi="黑体" w:eastAsia="仿宋_GB2312"/>
          <w:sz w:val="32"/>
          <w:szCs w:val="32"/>
        </w:rPr>
        <w:t>年预算数为4.22万元，对比上年预算数减少35.87万元，降幅89.47%。原因为购房补贴根据预算年有资格享受的干警人数和对应职务标准计算得出。</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我院2021年一般公共预算基本支出为2843.37万元，其中：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2184.81</w:t>
      </w:r>
      <w:r>
        <w:rPr>
          <w:rFonts w:hint="eastAsia" w:ascii="仿宋_GB2312" w:hAnsi="黑体" w:eastAsia="仿宋_GB2312"/>
          <w:sz w:val="32"/>
          <w:szCs w:val="32"/>
        </w:rPr>
        <w:t>万元，主要包括：基本工资412.06万元、津贴补贴553.85万元、奖金521.57万元、社会保障缴费301.61万元、住房公积金129.54万和聘用书记员工资福利151.14万元，以及其他交通费88.61万元，等等;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658.56</w:t>
      </w:r>
      <w:r>
        <w:rPr>
          <w:rFonts w:hint="eastAsia" w:ascii="仿宋_GB2312" w:hAnsi="黑体" w:eastAsia="仿宋_GB2312"/>
          <w:sz w:val="32"/>
          <w:szCs w:val="32"/>
        </w:rPr>
        <w:t>万元，主要包括：办公费、咨询费、手续费、水电费119.18万元、物业管理费209.08万元、差旅费29.1万元、维修费38.8万元、会议培训费34.60万元、劳务费和委托业务费43.65万元、其他商品和支出54.42万元，等等。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（一）2021年一般公共预算“三公”经费预算数为</w:t>
      </w:r>
      <w:r>
        <w:rPr>
          <w:rFonts w:hint="eastAsia" w:ascii="仿宋_GB2312" w:hAnsi="黑体" w:eastAsia="仿宋_GB2312" w:cs="仿宋_GB2312"/>
          <w:sz w:val="32"/>
          <w:szCs w:val="32"/>
        </w:rPr>
        <w:t>52.52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5.85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减少42.15万元，</w:t>
      </w:r>
      <w:r>
        <w:rPr>
          <w:rFonts w:ascii="Times New Roman" w:hAnsi="Times New Roman" w:eastAsia="仿宋_GB2312" w:cs="Times New Roman"/>
          <w:sz w:val="32"/>
          <w:shd w:val="clear" w:color="auto" w:fill="FFFFFF"/>
        </w:rPr>
        <w:t>下降</w:t>
      </w:r>
      <w:r>
        <w:rPr>
          <w:rFonts w:hint="eastAsia" w:ascii="Times New Roman" w:hAnsi="Times New Roman" w:eastAsia="仿宋_GB2312" w:cs="Times New Roman"/>
          <w:sz w:val="32"/>
          <w:shd w:val="clear" w:color="auto" w:fill="FFFFFF"/>
        </w:rPr>
        <w:t>87.81</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，原因为受疫情影响出国学习培训交流和调研活动减少。</w:t>
      </w:r>
      <w:r>
        <w:rPr>
          <w:rFonts w:ascii="Times New Roman" w:hAnsi="Times New Roman" w:eastAsia="仿宋_GB2312" w:cs="Times New Roman"/>
          <w:sz w:val="32"/>
          <w:shd w:val="clear" w:color="auto" w:fill="FFFFFF"/>
        </w:rPr>
        <w:t>根据外事部门等安排的</w:t>
      </w:r>
      <w:r>
        <w:rPr>
          <w:rFonts w:hint="eastAsia" w:ascii="仿宋_GB2312" w:hAnsi="黑体" w:eastAsia="仿宋_GB2312" w:cs="仿宋_GB2312"/>
          <w:sz w:val="32"/>
          <w:szCs w:val="32"/>
        </w:rPr>
        <w:t>2021</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人。公务用车购置及运行费</w:t>
      </w:r>
      <w:r>
        <w:rPr>
          <w:rFonts w:hint="eastAsia" w:ascii="Times New Roman" w:hAnsi="Times New Roman" w:eastAsia="仿宋_GB2312" w:cs="Times New Roman"/>
          <w:sz w:val="32"/>
          <w:shd w:val="clear" w:color="auto" w:fill="FFFFFF"/>
        </w:rPr>
        <w:t>41.28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41.28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减少25.72万元，降幅53.58</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w:t>
      </w:r>
      <w:r>
        <w:rPr>
          <w:rFonts w:hint="eastAsia"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是精细化预算管理，同时严格中央八项规定和海南省委“三十三”条规定，加强公车管理和建议我院干警绿色出行，以及倡导建设节约型政府。公务车保有量</w:t>
      </w:r>
      <w:r>
        <w:rPr>
          <w:rFonts w:hint="eastAsia" w:ascii="仿宋_GB2312" w:hAnsi="黑体" w:eastAsia="仿宋_GB2312" w:cs="仿宋_GB2312"/>
          <w:sz w:val="32"/>
          <w:szCs w:val="32"/>
        </w:rPr>
        <w:t>10辆，计划购置特种车0辆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5.40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增加3.4万元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原因为紧跟海南自由贸易港建设新形势</w:t>
      </w:r>
      <w:r>
        <w:rPr>
          <w:rFonts w:hint="eastAsia" w:ascii="Times New Roman" w:hAnsi="Times New Roman" w:eastAsia="仿宋_GB2312" w:cs="Times New Roman"/>
          <w:sz w:val="32"/>
          <w:shd w:val="clear" w:color="auto" w:fill="FFFFFF"/>
        </w:rPr>
        <w:t>，加快构建与国家法律体系相配套、与国际惯例相接轨、与自由贸易港建设相适应的海事司法体系，增强海事海商审执业务经验做法交流研讨。计划接待</w:t>
      </w:r>
      <w:r>
        <w:rPr>
          <w:rFonts w:hint="eastAsia" w:ascii="仿宋_GB2312" w:hAnsi="黑体" w:eastAsia="仿宋_GB2312" w:cs="仿宋_GB2312"/>
          <w:sz w:val="32"/>
          <w:szCs w:val="32"/>
        </w:rPr>
        <w:t>60批850人次</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ascii="黑体" w:hAnsi="黑体" w:eastAsia="黑体" w:cs="Times New Roman"/>
          <w:sz w:val="32"/>
          <w:shd w:val="clear" w:color="auto" w:fill="FFFFFF"/>
        </w:rPr>
      </w:pPr>
      <w:r>
        <w:rPr>
          <w:rFonts w:hint="eastAsia" w:ascii="Times New Roman" w:hAnsi="Times New Roman" w:eastAsia="仿宋_GB2312" w:cs="Times New Roman"/>
          <w:sz w:val="32"/>
        </w:rPr>
        <w:t>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按照综合预算原则，海口海事法院所有收入和支出均纳入部门预算管理。收入包括：一般公共预算收入和上年结转</w:t>
      </w:r>
      <w:r>
        <w:rPr>
          <w:rFonts w:hint="eastAsia" w:ascii="仿宋_GB2312" w:hAnsi="黑体" w:eastAsia="仿宋_GB2312"/>
          <w:sz w:val="32"/>
          <w:szCs w:val="32"/>
        </w:rPr>
        <w:t>；支出包括：公共安全支出、社会保障和就业支出、卫生健康支出、住房保障支出。</w:t>
      </w:r>
      <w:r>
        <w:rPr>
          <w:rFonts w:hint="eastAsia" w:ascii="仿宋_GB2312" w:hAnsi="黑体" w:eastAsia="仿宋_GB2312" w:cs="仿宋_GB2312"/>
          <w:sz w:val="32"/>
          <w:szCs w:val="32"/>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6157.29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rPr>
        <w:t>6157.29</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1.82</w:t>
      </w:r>
      <w:r>
        <w:rPr>
          <w:rFonts w:hint="eastAsia" w:ascii="仿宋_GB2312" w:hAnsi="黑体" w:eastAsia="仿宋_GB2312"/>
          <w:sz w:val="32"/>
          <w:szCs w:val="32"/>
        </w:rPr>
        <w:t>万元，占</w:t>
      </w:r>
      <w:r>
        <w:rPr>
          <w:rFonts w:hint="eastAsia" w:ascii="仿宋_GB2312" w:hAnsi="黑体" w:eastAsia="仿宋_GB2312" w:cs="仿宋_GB2312"/>
          <w:sz w:val="32"/>
          <w:szCs w:val="32"/>
        </w:rPr>
        <w:t>0.03</w:t>
      </w:r>
      <w:r>
        <w:rPr>
          <w:rFonts w:hint="eastAsia" w:ascii="仿宋_GB2312" w:hAnsi="黑体" w:eastAsia="仿宋_GB2312"/>
          <w:sz w:val="32"/>
          <w:szCs w:val="32"/>
        </w:rPr>
        <w:t>%；经费拨款收入6155.47万元，占</w:t>
      </w:r>
      <w:r>
        <w:rPr>
          <w:rFonts w:hint="eastAsia" w:ascii="仿宋_GB2312" w:hAnsi="黑体" w:eastAsia="仿宋_GB2312" w:cs="仿宋_GB2312"/>
          <w:sz w:val="32"/>
          <w:szCs w:val="32"/>
        </w:rPr>
        <w:t>99.97</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增加63.99</w:t>
      </w:r>
      <w:r>
        <w:rPr>
          <w:rFonts w:hint="eastAsia" w:ascii="仿宋_GB2312" w:hAnsi="黑体" w:eastAsia="仿宋_GB2312"/>
          <w:sz w:val="32"/>
          <w:szCs w:val="32"/>
        </w:rPr>
        <w:t>万元，主要原因是基本支出预算对比上年增加273.13万元产生所致，即人员经费工资福利支出合理递增、社会保险缴费和机关运行经费增加。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rPr>
        <w:t>6157.29</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2843.37</w:t>
      </w:r>
      <w:r>
        <w:rPr>
          <w:rFonts w:hint="eastAsia" w:ascii="仿宋_GB2312" w:hAnsi="黑体" w:eastAsia="仿宋_GB2312"/>
          <w:sz w:val="32"/>
          <w:szCs w:val="32"/>
        </w:rPr>
        <w:t>万元，占</w:t>
      </w:r>
      <w:r>
        <w:rPr>
          <w:rFonts w:hint="eastAsia" w:ascii="仿宋_GB2312" w:hAnsi="黑体" w:eastAsia="仿宋_GB2312" w:cs="仿宋_GB2312"/>
          <w:sz w:val="32"/>
          <w:szCs w:val="32"/>
        </w:rPr>
        <w:t>46.18</w:t>
      </w:r>
      <w:r>
        <w:rPr>
          <w:rFonts w:hint="eastAsia" w:ascii="仿宋_GB2312" w:hAnsi="黑体" w:eastAsia="仿宋_GB2312"/>
          <w:sz w:val="32"/>
          <w:szCs w:val="32"/>
        </w:rPr>
        <w:t>%；项目支出</w:t>
      </w:r>
      <w:r>
        <w:rPr>
          <w:rFonts w:hint="eastAsia" w:ascii="仿宋_GB2312" w:hAnsi="黑体" w:eastAsia="仿宋_GB2312" w:cs="仿宋_GB2312"/>
          <w:sz w:val="32"/>
          <w:szCs w:val="32"/>
        </w:rPr>
        <w:t>3313.93</w:t>
      </w:r>
      <w:r>
        <w:rPr>
          <w:rFonts w:hint="eastAsia" w:ascii="仿宋_GB2312" w:hAnsi="黑体" w:eastAsia="仿宋_GB2312"/>
          <w:sz w:val="32"/>
          <w:szCs w:val="32"/>
        </w:rPr>
        <w:t>万元，占</w:t>
      </w:r>
      <w:r>
        <w:rPr>
          <w:rFonts w:hint="eastAsia" w:ascii="仿宋_GB2312" w:hAnsi="黑体" w:eastAsia="仿宋_GB2312" w:cs="仿宋_GB2312"/>
          <w:sz w:val="32"/>
          <w:szCs w:val="32"/>
        </w:rPr>
        <w:t>53.82</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增加63.99</w:t>
      </w:r>
      <w:r>
        <w:rPr>
          <w:rFonts w:hint="eastAsia" w:ascii="仿宋_GB2312" w:hAnsi="黑体" w:eastAsia="仿宋_GB2312"/>
          <w:sz w:val="32"/>
          <w:szCs w:val="32"/>
        </w:rPr>
        <w:t>万元，主要是在收支平衡情况下，基本支出预算对比上年增加273.13万元产生所致，即人员经费工资福利支出合理递增、社会保险缴费和机关运行经费增加。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年海口海事法院</w:t>
      </w:r>
      <w:r>
        <w:rPr>
          <w:rFonts w:hint="eastAsia" w:ascii="仿宋_GB2312" w:hAnsi="黑体" w:eastAsia="仿宋_GB2312" w:cs="仿宋_GB2312"/>
          <w:sz w:val="32"/>
          <w:szCs w:val="32"/>
        </w:rPr>
        <w:t>的机关运行经费预算658.56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海口海事法院政府采购预算总额1859.00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425</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1434</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截至2020</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海口海事法院共有车辆10辆，其中，领导干部用车1辆，机要通信应急用车2辆、一般执法执勤用车7辆、特种专业技术用车0辆、其他用车0辆。单位价值100万元以上设备2套。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2021</w:t>
      </w:r>
      <w:r>
        <w:rPr>
          <w:rFonts w:hint="eastAsia" w:ascii="仿宋_GB2312" w:hAnsi="黑体" w:eastAsia="仿宋_GB2312"/>
          <w:sz w:val="32"/>
          <w:szCs w:val="32"/>
        </w:rPr>
        <w:t>年</w:t>
      </w:r>
      <w:r>
        <w:rPr>
          <w:rFonts w:hint="eastAsia" w:ascii="仿宋_GB2312" w:hAnsi="黑体" w:eastAsia="仿宋_GB2312" w:cs="仿宋_GB2312"/>
          <w:sz w:val="32"/>
          <w:szCs w:val="32"/>
        </w:rPr>
        <w:t>海口海事法院6个项目实行绩效目标管理，涉及一般公共预算2028.60</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万元、其他为无。</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（五）重点项目预算的绩效评价</w:t>
      </w:r>
    </w:p>
    <w:p>
      <w:pPr>
        <w:pStyle w:val="13"/>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default" w:ascii="华文仿宋" w:hAnsi="华文仿宋" w:eastAsia="华文仿宋" w:cs="华文仿宋"/>
          <w:kern w:val="0"/>
          <w:sz w:val="30"/>
          <w:szCs w:val="30"/>
        </w:rPr>
      </w:pPr>
      <w:bookmarkStart w:id="0" w:name="_GoBack"/>
      <w:bookmarkEnd w:id="0"/>
      <w:r>
        <w:rPr>
          <w:rFonts w:hint="eastAsia" w:ascii="仿宋_GB2312" w:hAnsi="黑体" w:eastAsia="仿宋_GB2312"/>
          <w:sz w:val="32"/>
          <w:szCs w:val="32"/>
          <w:lang w:val="en-US" w:eastAsia="zh-CN"/>
        </w:rPr>
        <w:t>我院三亚法庭项目建设为重点项目，</w:t>
      </w:r>
      <w:r>
        <w:rPr>
          <w:rFonts w:hint="default" w:ascii="华文仿宋" w:hAnsi="华文仿宋" w:eastAsia="华文仿宋" w:cs="华文仿宋"/>
          <w:kern w:val="0"/>
          <w:sz w:val="30"/>
          <w:szCs w:val="30"/>
        </w:rPr>
        <w:t>总体目标：三亚法庭建设根据最高人民法院关于海事法院司法服务窗口前移要求，同时分流案件，为三亚周边海商案件高效率审判执行。</w:t>
      </w:r>
    </w:p>
    <w:p>
      <w:pPr>
        <w:pStyle w:val="13"/>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default" w:ascii="华文仿宋" w:hAnsi="华文仿宋" w:eastAsia="华文仿宋" w:cs="华文仿宋"/>
          <w:kern w:val="0"/>
          <w:sz w:val="30"/>
          <w:szCs w:val="30"/>
        </w:rPr>
      </w:pPr>
      <w:r>
        <w:rPr>
          <w:rFonts w:hint="default" w:ascii="华文仿宋" w:hAnsi="华文仿宋" w:eastAsia="华文仿宋" w:cs="华文仿宋"/>
          <w:kern w:val="0"/>
          <w:sz w:val="30"/>
          <w:szCs w:val="30"/>
        </w:rPr>
        <w:t>2021年年度目标是三亚法庭建设根据最高人民法院关于海事法院司法服务窗口前移要求，同时分流案件，为三亚周边海商案件高效率审判执行。</w:t>
      </w:r>
    </w:p>
    <w:p>
      <w:pPr>
        <w:pStyle w:val="13"/>
        <w:keepNext w:val="0"/>
        <w:keepLines w:val="0"/>
        <w:widowControl/>
        <w:suppressLineNumbers w:val="0"/>
        <w:autoSpaceDE w:val="0"/>
        <w:autoSpaceDN/>
        <w:spacing w:before="0" w:beforeAutospacing="0" w:after="0" w:afterAutospacing="0" w:line="360" w:lineRule="auto"/>
        <w:ind w:left="0" w:leftChars="0" w:right="0" w:rightChars="0" w:firstLine="516"/>
        <w:jc w:val="left"/>
        <w:rPr>
          <w:rFonts w:hint="default" w:ascii="华文仿宋" w:hAnsi="华文仿宋" w:eastAsia="华文仿宋" w:cs="华文仿宋"/>
          <w:kern w:val="0"/>
          <w:sz w:val="30"/>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MGU1OWMxNjVmNWQ1YmFhYTA1MDJlZmQxMWQ2OTIifQ=="/>
  </w:docVars>
  <w:rsids>
    <w:rsidRoot w:val="002E3C29"/>
    <w:rsid w:val="000B6EB9"/>
    <w:rsid w:val="000E2A0E"/>
    <w:rsid w:val="00105F67"/>
    <w:rsid w:val="00107FA3"/>
    <w:rsid w:val="001A3DBF"/>
    <w:rsid w:val="002E3C29"/>
    <w:rsid w:val="003A0332"/>
    <w:rsid w:val="003D26FE"/>
    <w:rsid w:val="00465310"/>
    <w:rsid w:val="004D5C5F"/>
    <w:rsid w:val="0052291F"/>
    <w:rsid w:val="005306E0"/>
    <w:rsid w:val="00592687"/>
    <w:rsid w:val="005B2149"/>
    <w:rsid w:val="005D7DA7"/>
    <w:rsid w:val="00602176"/>
    <w:rsid w:val="0063506B"/>
    <w:rsid w:val="00650202"/>
    <w:rsid w:val="006714C1"/>
    <w:rsid w:val="00727075"/>
    <w:rsid w:val="00742562"/>
    <w:rsid w:val="00744036"/>
    <w:rsid w:val="007D19EE"/>
    <w:rsid w:val="007F6992"/>
    <w:rsid w:val="0082112D"/>
    <w:rsid w:val="00860A81"/>
    <w:rsid w:val="008A74F0"/>
    <w:rsid w:val="009C0FCC"/>
    <w:rsid w:val="009F0682"/>
    <w:rsid w:val="00A13CF2"/>
    <w:rsid w:val="00A54687"/>
    <w:rsid w:val="00B23619"/>
    <w:rsid w:val="00B36711"/>
    <w:rsid w:val="00B45E02"/>
    <w:rsid w:val="00BF5F4B"/>
    <w:rsid w:val="00C1768A"/>
    <w:rsid w:val="00C95847"/>
    <w:rsid w:val="00D5150B"/>
    <w:rsid w:val="00D82192"/>
    <w:rsid w:val="00E1377E"/>
    <w:rsid w:val="00EC5BB3"/>
    <w:rsid w:val="00EF4212"/>
    <w:rsid w:val="00F03279"/>
    <w:rsid w:val="00F15ABB"/>
    <w:rsid w:val="00F36C5D"/>
    <w:rsid w:val="00F900E4"/>
    <w:rsid w:val="00FA0773"/>
    <w:rsid w:val="00FB18F9"/>
    <w:rsid w:val="00FD362C"/>
    <w:rsid w:val="012E7CDF"/>
    <w:rsid w:val="01644401"/>
    <w:rsid w:val="02BE3706"/>
    <w:rsid w:val="057278B3"/>
    <w:rsid w:val="05D139FE"/>
    <w:rsid w:val="074D53E1"/>
    <w:rsid w:val="08355523"/>
    <w:rsid w:val="0B605F1A"/>
    <w:rsid w:val="0CE216E3"/>
    <w:rsid w:val="0E8434D1"/>
    <w:rsid w:val="105C24E3"/>
    <w:rsid w:val="11ED4539"/>
    <w:rsid w:val="146672BC"/>
    <w:rsid w:val="16F37991"/>
    <w:rsid w:val="17B964C9"/>
    <w:rsid w:val="17C74A5F"/>
    <w:rsid w:val="19264735"/>
    <w:rsid w:val="1BE925C2"/>
    <w:rsid w:val="1CFC43C8"/>
    <w:rsid w:val="21451E2E"/>
    <w:rsid w:val="21720567"/>
    <w:rsid w:val="21E653DF"/>
    <w:rsid w:val="225E6AA9"/>
    <w:rsid w:val="22824EF5"/>
    <w:rsid w:val="26435ACF"/>
    <w:rsid w:val="26565474"/>
    <w:rsid w:val="26F07DBB"/>
    <w:rsid w:val="28C929D5"/>
    <w:rsid w:val="2A533EC5"/>
    <w:rsid w:val="2B2470D5"/>
    <w:rsid w:val="2C6470D6"/>
    <w:rsid w:val="2C9342F0"/>
    <w:rsid w:val="2F7F7010"/>
    <w:rsid w:val="2F935417"/>
    <w:rsid w:val="32454CED"/>
    <w:rsid w:val="33186064"/>
    <w:rsid w:val="37B704C1"/>
    <w:rsid w:val="38373117"/>
    <w:rsid w:val="384A0672"/>
    <w:rsid w:val="3963752F"/>
    <w:rsid w:val="3A867BA2"/>
    <w:rsid w:val="3BF97DA0"/>
    <w:rsid w:val="3C240FBF"/>
    <w:rsid w:val="3EAB775B"/>
    <w:rsid w:val="40702425"/>
    <w:rsid w:val="44302FDB"/>
    <w:rsid w:val="46DC28A0"/>
    <w:rsid w:val="47FF6380"/>
    <w:rsid w:val="4DDA4436"/>
    <w:rsid w:val="50096393"/>
    <w:rsid w:val="536C0A70"/>
    <w:rsid w:val="561114BA"/>
    <w:rsid w:val="56A2524B"/>
    <w:rsid w:val="56D10A0A"/>
    <w:rsid w:val="57F41002"/>
    <w:rsid w:val="584C0C67"/>
    <w:rsid w:val="5A915D4F"/>
    <w:rsid w:val="5ACE6384"/>
    <w:rsid w:val="5C8E064A"/>
    <w:rsid w:val="5D604061"/>
    <w:rsid w:val="5F9B40B2"/>
    <w:rsid w:val="5FC206EE"/>
    <w:rsid w:val="655642D4"/>
    <w:rsid w:val="6A650D2E"/>
    <w:rsid w:val="6B4C249A"/>
    <w:rsid w:val="6F80615E"/>
    <w:rsid w:val="6FA00A2F"/>
    <w:rsid w:val="73EC2A3D"/>
    <w:rsid w:val="79176FAF"/>
    <w:rsid w:val="7ABA6355"/>
    <w:rsid w:val="7B24651C"/>
    <w:rsid w:val="7BAF47C9"/>
    <w:rsid w:val="7BC64FEE"/>
    <w:rsid w:val="7C761DAE"/>
    <w:rsid w:val="7D7347BF"/>
    <w:rsid w:val="7E96104C"/>
    <w:rsid w:val="7EFA6FCE"/>
    <w:rsid w:val="7EFF21D1"/>
    <w:rsid w:val="7FEF0B5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 w:type="paragraph" w:customStyle="1" w:styleId="12">
    <w:name w:val="p0"/>
    <w:basedOn w:val="1"/>
    <w:qFormat/>
    <w:uiPriority w:val="0"/>
    <w:pPr>
      <w:widowControl/>
    </w:pPr>
    <w:rPr>
      <w:rFonts w:ascii="Times New Roman" w:hAnsi="Times New Roman" w:cs="Times New Roman"/>
      <w:kern w:val="0"/>
      <w:szCs w:val="21"/>
    </w:rPr>
  </w:style>
  <w:style w:type="paragraph" w:customStyle="1" w:styleId="13">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CE1D-8226-430A-8C11-DB3226C9CFAC}">
  <ds:schemaRefs/>
</ds:datastoreItem>
</file>

<file path=docProps/app.xml><?xml version="1.0" encoding="utf-8"?>
<Properties xmlns="http://schemas.openxmlformats.org/officeDocument/2006/extended-properties" xmlns:vt="http://schemas.openxmlformats.org/officeDocument/2006/docPropsVTypes">
  <Template>Normal</Template>
  <Pages>12</Pages>
  <Words>4397</Words>
  <Characters>4976</Characters>
  <Lines>35</Lines>
  <Paragraphs>9</Paragraphs>
  <TotalTime>0</TotalTime>
  <ScaleCrop>false</ScaleCrop>
  <LinksUpToDate>false</LinksUpToDate>
  <CharactersWithSpaces>4995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小猪</cp:lastModifiedBy>
  <dcterms:modified xsi:type="dcterms:W3CDTF">2022-09-06T08:39:21Z</dcterms:modified>
  <dc:title>××年××部门（单位）预算</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D1D795ED89D74552A56BD0174351CE68</vt:lpwstr>
  </property>
</Properties>
</file>