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r>
        <w:pict>
          <v:shape id="_x0000_s1027" o:spid="_x0000_s1027" o:spt="75" type="#_x0000_t75" style="position:absolute;left:0pt;margin-left:164.55pt;margin-top:48.1pt;height:86.15pt;width:84.7pt;z-index:251659264;mso-width-relative:page;mso-height-relative:page;" filled="f" o:preferrelative="t" stroked="f" coordsize="21600,21600">
            <v:path/>
            <v:fill on="f" focussize="0,0"/>
            <v:stroke on="f" joinstyle="miter"/>
            <v:imagedata r:id="rId4" o:title="海口海事法院LOGO"/>
            <o:lock v:ext="edit" aspectratio="t"/>
          </v:shape>
        </w:pict>
      </w:r>
    </w:p>
    <w:p>
      <w:pPr>
        <w:rPr>
          <w:sz w:val="84"/>
          <w:szCs w:val="84"/>
          <w:u w:val="single"/>
        </w:rPr>
      </w:pPr>
    </w:p>
    <w:p>
      <w:pPr>
        <w:rPr>
          <w:sz w:val="84"/>
          <w:szCs w:val="84"/>
          <w:u w:val="single"/>
        </w:rPr>
      </w:pPr>
    </w:p>
    <w:p>
      <w:pPr>
        <w:rPr>
          <w:sz w:val="84"/>
          <w:szCs w:val="84"/>
          <w:u w:val="single"/>
        </w:rPr>
      </w:pPr>
    </w:p>
    <w:p>
      <w:pPr>
        <w:jc w:val="center"/>
        <w:rPr>
          <w:rFonts w:ascii="华文中宋" w:hAnsi="华文中宋" w:eastAsia="华文中宋"/>
          <w:b/>
          <w:sz w:val="86"/>
          <w:szCs w:val="86"/>
        </w:rPr>
      </w:pPr>
      <w:r>
        <w:rPr>
          <w:rFonts w:hint="eastAsia" w:ascii="华文中宋" w:hAnsi="华文中宋" w:eastAsia="华文中宋"/>
          <w:b/>
          <w:sz w:val="86"/>
          <w:szCs w:val="86"/>
        </w:rPr>
        <w:t>202</w:t>
      </w:r>
      <w:r>
        <w:rPr>
          <w:rFonts w:hint="eastAsia" w:ascii="华文中宋" w:hAnsi="华文中宋" w:eastAsia="华文中宋"/>
          <w:b/>
          <w:sz w:val="86"/>
          <w:szCs w:val="86"/>
          <w:lang w:val="en-US" w:eastAsia="zh-CN"/>
        </w:rPr>
        <w:t>3</w:t>
      </w:r>
      <w:r>
        <w:rPr>
          <w:rFonts w:hint="eastAsia" w:ascii="华文中宋" w:hAnsi="华文中宋" w:eastAsia="华文中宋"/>
          <w:b/>
          <w:sz w:val="86"/>
          <w:szCs w:val="86"/>
        </w:rPr>
        <w:t>年海口海事法院</w:t>
      </w:r>
    </w:p>
    <w:p>
      <w:pPr>
        <w:jc w:val="center"/>
        <w:rPr>
          <w:rFonts w:ascii="华文中宋" w:hAnsi="华文中宋" w:eastAsia="华文中宋"/>
          <w:b/>
          <w:sz w:val="86"/>
          <w:szCs w:val="86"/>
        </w:rPr>
      </w:pPr>
      <w:r>
        <w:rPr>
          <w:rFonts w:hint="eastAsia" w:ascii="华文中宋" w:hAnsi="华文中宋" w:eastAsia="华文中宋"/>
          <w:b/>
          <w:sz w:val="86"/>
          <w:szCs w:val="86"/>
        </w:rPr>
        <w:t>预算公开说明</w:t>
      </w:r>
    </w:p>
    <w:p>
      <w:pPr>
        <w:ind w:firstLine="1680"/>
        <w:jc w:val="center"/>
        <w:rPr>
          <w:sz w:val="84"/>
          <w:szCs w:val="84"/>
          <w:u w:val="none"/>
        </w:rPr>
      </w:pPr>
    </w:p>
    <w:p>
      <w:pPr>
        <w:ind w:firstLine="1680"/>
        <w:jc w:val="center"/>
        <w:rPr>
          <w:sz w:val="84"/>
          <w:szCs w:val="84"/>
          <w:u w:val="none"/>
        </w:rPr>
      </w:pPr>
    </w:p>
    <w:p>
      <w:pPr>
        <w:rPr>
          <w:sz w:val="84"/>
          <w:szCs w:val="84"/>
          <w:u w:val="none"/>
        </w:rPr>
      </w:pPr>
    </w:p>
    <w:p>
      <w:pPr>
        <w:rPr>
          <w:sz w:val="84"/>
          <w:szCs w:val="84"/>
          <w:u w:val="none"/>
        </w:rPr>
      </w:pPr>
    </w:p>
    <w:p>
      <w:pPr>
        <w:rPr>
          <w:sz w:val="84"/>
          <w:szCs w:val="84"/>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海口海事法院</w:t>
      </w:r>
      <w:r>
        <w:rPr>
          <w:rFonts w:hint="eastAsia" w:ascii="黑体" w:hAnsi="黑体" w:eastAsia="黑体"/>
          <w:sz w:val="32"/>
          <w:szCs w:val="32"/>
          <w:u w:val="none"/>
        </w:rPr>
        <w:t>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海口海事法院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年部门预算表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lang w:eastAsia="zh-CN"/>
        </w:rPr>
        <w:t>海口海事法院</w:t>
      </w:r>
      <w:r>
        <w:rPr>
          <w:rFonts w:hint="eastAsia" w:ascii="黑体" w:hAnsi="黑体" w:eastAsia="黑体"/>
          <w:sz w:val="32"/>
          <w:szCs w:val="32"/>
          <w:lang w:val="en-US" w:eastAsia="zh-CN"/>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10"/>
        <w:ind w:firstLine="640" w:firstLineChars="200"/>
        <w:jc w:val="left"/>
        <w:rPr>
          <w:rFonts w:hint="eastAsia" w:ascii="华文仿宋" w:hAnsi="华文仿宋" w:eastAsia="华文仿宋"/>
          <w:sz w:val="32"/>
          <w:szCs w:val="32"/>
        </w:rPr>
      </w:pPr>
      <w:r>
        <w:rPr>
          <w:rFonts w:hint="eastAsia" w:ascii="华文仿宋" w:hAnsi="华文仿宋" w:eastAsia="华文仿宋"/>
          <w:sz w:val="32"/>
          <w:szCs w:val="32"/>
        </w:rPr>
        <w:t>根据202</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年海南省本级部门预算公开相关要求，我院包括</w:t>
      </w:r>
      <w:r>
        <w:rPr>
          <w:rFonts w:hint="eastAsia" w:ascii="华文仿宋" w:hAnsi="华文仿宋" w:eastAsia="华文仿宋"/>
          <w:sz w:val="32"/>
          <w:szCs w:val="32"/>
          <w:lang w:val="en-US" w:eastAsia="zh-CN"/>
        </w:rPr>
        <w:t>院本部</w:t>
      </w:r>
      <w:r>
        <w:rPr>
          <w:rFonts w:hint="eastAsia" w:ascii="华文仿宋" w:hAnsi="华文仿宋" w:eastAsia="华文仿宋"/>
          <w:sz w:val="32"/>
          <w:szCs w:val="32"/>
        </w:rPr>
        <w:t>及博鳌、八所、三亚、洋浦和三沙五个派出法庭的综合预算全部收支均在本级部门预算集中体现。现就有关预算情况说明如下：</w:t>
      </w:r>
    </w:p>
    <w:p>
      <w:pPr>
        <w:pStyle w:val="10"/>
        <w:ind w:firstLine="640" w:firstLineChars="200"/>
        <w:jc w:val="left"/>
        <w:rPr>
          <w:rFonts w:hint="eastAsia" w:ascii="华文仿宋" w:hAnsi="华文仿宋" w:eastAsia="华文仿宋"/>
          <w:sz w:val="32"/>
          <w:szCs w:val="32"/>
        </w:rPr>
      </w:pPr>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lang w:eastAsia="zh-CN"/>
        </w:rPr>
        <w:t>海口海事法院</w:t>
      </w:r>
      <w:r>
        <w:rPr>
          <w:rFonts w:hint="eastAsia" w:ascii="黑体" w:hAnsi="黑体" w:eastAsia="黑体"/>
          <w:sz w:val="32"/>
          <w:szCs w:val="32"/>
        </w:rPr>
        <w:t>概况</w:t>
      </w:r>
    </w:p>
    <w:p>
      <w:pPr>
        <w:jc w:val="left"/>
        <w:rPr>
          <w:rFonts w:ascii="仿宋_GB2312" w:hAnsi="仿宋_GB2312" w:eastAsia="仿宋_GB2312" w:cs="仿宋_GB2312"/>
          <w:sz w:val="32"/>
          <w:szCs w:val="32"/>
          <w:u w:val="none"/>
        </w:rPr>
      </w:pP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海口海事法院是国家审判海事、海商的专门法院，管辖海南省所属港口和海域内发生的海事、海商，以及海事审判“三合一”改革后的刑事、行政方面的一审案件，依法独立行使审判权。其主要职责是：</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（1）依法审判由本院管辖的海事侵权、海商合同、海事行政、海事执行、海事请求保全，以及其他海事海商等第一审案件。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（2）依法审判海事审判“三合一”改革后的刑事、行政及上级法院指定或交由本院审理的海事、海商等第一审案件。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（3）受理不服本院判决、裁定的各类申诉案件，对其中确有错误的已经发生法律效力的判决、裁定进行再审。</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（4）依法审判由检察机关按照审判监督程序提出的抗诉案件。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（5）依法行使司法执行权和司法决定权。</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（6）依法决定国家赔偿。</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（7）组织办理司法协助事项。</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（8）对相关法律、法规、规章等草案提出意见，针对案件审理中发现的问题提出司法建议。</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（9）负责本院的思想政治工作和教育培训工作，按照权限管理法官和其他工作人员。</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（10）负责本院的监察工作。</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（11）在业务工作中开展法制宣传。</w:t>
      </w:r>
    </w:p>
    <w:p>
      <w:pPr>
        <w:pStyle w:val="6"/>
        <w:numPr>
          <w:ilvl w:val="0"/>
          <w:numId w:val="0"/>
        </w:numPr>
        <w:ind w:leftChars="0" w:firstLine="320" w:firstLineChars="100"/>
        <w:jc w:val="left"/>
        <w:rPr>
          <w:rFonts w:ascii="黑体" w:hAnsi="黑体" w:eastAsia="黑体" w:cs="仿宋_GB2312"/>
          <w:sz w:val="32"/>
          <w:szCs w:val="32"/>
          <w:u w:val="none"/>
        </w:rPr>
      </w:pPr>
      <w:r>
        <w:rPr>
          <w:rFonts w:hint="eastAsia" w:ascii="仿宋_GB2312" w:hAnsi="仿宋" w:eastAsia="仿宋_GB2312" w:cs="仿宋_GB2312"/>
          <w:kern w:val="2"/>
          <w:sz w:val="32"/>
          <w:szCs w:val="32"/>
          <w:lang w:val="en-US" w:eastAsia="zh-CN" w:bidi="ar"/>
        </w:rPr>
        <w:t>（12）承办其他应有本院负责的工作。</w:t>
      </w: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海口海事法院是海南省财政一级预算部门，部门预算编制范围没有二级预算单位。</w:t>
      </w:r>
    </w:p>
    <w:p>
      <w:pPr>
        <w:ind w:firstLine="640" w:firstLineChars="200"/>
        <w:rPr>
          <w:rFonts w:hint="eastAsia" w:ascii="黑体" w:hAnsi="黑体" w:eastAsia="黑体"/>
          <w:sz w:val="32"/>
          <w:szCs w:val="32"/>
          <w:u w:val="none"/>
        </w:rPr>
      </w:pP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黑体" w:hAnsi="黑体" w:eastAsia="黑体"/>
          <w:sz w:val="32"/>
          <w:szCs w:val="32"/>
        </w:rPr>
        <w:t>年部门预算表</w:t>
      </w:r>
    </w:p>
    <w:p>
      <w:pPr>
        <w:ind w:left="800"/>
        <w:jc w:val="left"/>
        <w:rPr>
          <w:rFonts w:ascii="黑体" w:hAnsi="黑体" w:eastAsia="黑体"/>
          <w:sz w:val="32"/>
          <w:szCs w:val="32"/>
          <w:u w:val="none"/>
        </w:rPr>
      </w:pPr>
    </w:p>
    <w:p>
      <w:pPr>
        <w:rPr>
          <w:rFonts w:ascii="仿宋_GB2312" w:hAnsi="黑体" w:eastAsia="仿宋_GB2312"/>
          <w:sz w:val="32"/>
          <w:szCs w:val="32"/>
        </w:rPr>
      </w:pPr>
      <w:r>
        <w:rPr>
          <w:rFonts w:hint="eastAsia" w:ascii="仿宋_GB2312" w:hAnsi="黑体" w:eastAsia="仿宋_GB2312"/>
          <w:sz w:val="32"/>
          <w:szCs w:val="32"/>
        </w:rPr>
        <w:t>（此部分内容</w:t>
      </w:r>
      <w:r>
        <w:rPr>
          <w:rFonts w:hint="eastAsia" w:ascii="仿宋_GB2312" w:hAnsi="黑体" w:eastAsia="仿宋_GB2312"/>
          <w:sz w:val="32"/>
          <w:szCs w:val="32"/>
          <w:lang w:eastAsia="zh-CN"/>
        </w:rPr>
        <w:t>详见</w:t>
      </w:r>
      <w:r>
        <w:rPr>
          <w:rFonts w:hint="eastAsia" w:ascii="仿宋_GB2312" w:hAnsi="黑体" w:eastAsia="仿宋_GB2312"/>
          <w:sz w:val="32"/>
          <w:szCs w:val="32"/>
        </w:rPr>
        <w:t>附件: 202</w:t>
      </w:r>
      <w:r>
        <w:rPr>
          <w:rFonts w:hint="eastAsia" w:ascii="仿宋_GB2312" w:hAnsi="黑体" w:eastAsia="仿宋_GB2312"/>
          <w:sz w:val="32"/>
          <w:szCs w:val="32"/>
          <w:lang w:val="en-US" w:eastAsia="zh-CN"/>
        </w:rPr>
        <w:t>3</w:t>
      </w:r>
      <w:r>
        <w:rPr>
          <w:rFonts w:hint="eastAsia" w:ascii="仿宋_GB2312" w:hAnsi="黑体" w:eastAsia="仿宋_GB2312"/>
          <w:sz w:val="32"/>
          <w:szCs w:val="32"/>
        </w:rPr>
        <w:t>部门预算公开表EXCEL版本）。</w:t>
      </w:r>
    </w:p>
    <w:p>
      <w:pPr>
        <w:rPr>
          <w:rFonts w:ascii="黑体" w:hAnsi="黑体" w:eastAsia="黑体"/>
          <w:sz w:val="32"/>
          <w:szCs w:val="32"/>
          <w:u w:val="none"/>
        </w:r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黑体" w:hAnsi="黑体" w:eastAsia="黑体"/>
          <w:sz w:val="32"/>
          <w:szCs w:val="32"/>
        </w:rPr>
        <w:t>年部门预算情况说明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w:t>
      </w:r>
      <w:r>
        <w:rPr>
          <w:rFonts w:hint="eastAsia" w:ascii="黑体" w:hAnsi="黑体" w:eastAsia="黑体"/>
          <w:sz w:val="32"/>
          <w:szCs w:val="32"/>
        </w:rPr>
        <w:t>关于</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lang w:eastAsia="zh-CN"/>
        </w:rPr>
        <w:t>我院</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5192.37</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86.58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本年开始职业年金纪实缴费，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5192.37</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5138.37</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54.01</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5192.37</w:t>
      </w:r>
      <w:r>
        <w:rPr>
          <w:rFonts w:hint="eastAsia" w:ascii="仿宋_GB2312" w:hAnsi="黑体" w:eastAsia="仿宋_GB2312"/>
          <w:sz w:val="32"/>
          <w:szCs w:val="32"/>
          <w:u w:val="none"/>
        </w:rPr>
        <w:t>万元，</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rPr>
        <w:t>0</w:t>
      </w:r>
      <w:r>
        <w:rPr>
          <w:rFonts w:hint="eastAsia" w:ascii="仿宋_GB2312" w:hAnsi="黑体" w:eastAsia="仿宋_GB2312"/>
          <w:sz w:val="32"/>
          <w:szCs w:val="32"/>
        </w:rPr>
        <w:t>万元、公共安全支出</w:t>
      </w:r>
      <w:r>
        <w:rPr>
          <w:rFonts w:hint="eastAsia" w:ascii="仿宋_GB2312" w:hAnsi="黑体" w:eastAsia="仿宋_GB2312" w:cs="仿宋_GB2312"/>
          <w:sz w:val="32"/>
          <w:szCs w:val="32"/>
          <w:lang w:val="en-US" w:eastAsia="zh-CN"/>
        </w:rPr>
        <w:t>4255.52</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676.11</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99.18</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161.55</w:t>
      </w:r>
      <w:r>
        <w:rPr>
          <w:rFonts w:hint="eastAsia" w:ascii="仿宋_GB2312" w:hAnsi="黑体" w:eastAsia="仿宋_GB2312"/>
          <w:sz w:val="32"/>
          <w:szCs w:val="32"/>
        </w:rPr>
        <w:t>万元，结转下年0万元。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sz w:val="32"/>
          <w:szCs w:val="32"/>
          <w:u w:val="none"/>
          <w:lang w:eastAsia="zh-CN"/>
        </w:rPr>
        <w:t>海口海事法院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年一般公共预算当年拨款</w:t>
      </w:r>
      <w:r>
        <w:rPr>
          <w:rFonts w:hint="eastAsia" w:ascii="仿宋_GB2312" w:hAnsi="黑体" w:eastAsia="仿宋_GB2312"/>
          <w:sz w:val="32"/>
          <w:szCs w:val="32"/>
          <w:u w:val="none"/>
          <w:lang w:val="en-US" w:eastAsia="zh-CN"/>
        </w:rPr>
        <w:t>5138.37</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120.84</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本年开始职业年金纪实缴费，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w:t>
      </w:r>
      <w:r>
        <w:rPr>
          <w:rFonts w:hint="eastAsia" w:ascii="仿宋_GB2312" w:hAnsi="黑体" w:eastAsia="仿宋_GB2312"/>
          <w:sz w:val="32"/>
          <w:szCs w:val="32"/>
          <w:u w:val="none"/>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一般公共预算</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年拨款预算总支出</w:t>
      </w:r>
      <w:r>
        <w:rPr>
          <w:rFonts w:hint="eastAsia" w:ascii="仿宋_GB2312" w:hAnsi="黑体" w:eastAsia="仿宋_GB2312"/>
          <w:sz w:val="32"/>
          <w:szCs w:val="32"/>
          <w:lang w:val="en-US" w:eastAsia="zh-CN"/>
        </w:rPr>
        <w:t>5192.37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其中：公共安全支出（类）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4255.52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81.96</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676.11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13.02</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99.18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1.91</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161.55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3.11</w:t>
      </w:r>
      <w:r>
        <w:rPr>
          <w:rFonts w:hint="eastAsia" w:ascii="仿宋_GB2312" w:hAnsi="黑体" w:eastAsia="仿宋_GB2312"/>
          <w:sz w:val="32"/>
          <w:szCs w:val="32"/>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1.公共安全支出（类）法院（款）行政运行（项）202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2529.31</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公共安全支出（类）法院（款）案件审判（项）202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394.51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13.30</w:t>
      </w:r>
      <w:r>
        <w:rPr>
          <w:rFonts w:hint="eastAsia" w:ascii="仿宋_GB2312" w:hAnsi="黑体" w:eastAsia="仿宋_GB2312"/>
          <w:sz w:val="32"/>
          <w:szCs w:val="32"/>
        </w:rPr>
        <w:t>万元，原因为</w:t>
      </w:r>
      <w:r>
        <w:rPr>
          <w:rFonts w:hint="eastAsia" w:ascii="仿宋_GB2312" w:hAnsi="黑体" w:eastAsia="仿宋_GB2312"/>
          <w:sz w:val="32"/>
          <w:szCs w:val="32"/>
          <w:lang w:eastAsia="zh-CN"/>
        </w:rPr>
        <w:t>疫情影响办案出差减少，</w:t>
      </w:r>
      <w:r>
        <w:rPr>
          <w:rFonts w:hint="eastAsia" w:ascii="仿宋_GB2312" w:hAnsi="黑体" w:eastAsia="仿宋_GB2312"/>
          <w:sz w:val="32"/>
          <w:szCs w:val="32"/>
          <w:lang w:val="en-US" w:eastAsia="zh-CN"/>
        </w:rPr>
        <w:t>并创建节约型法院，严格办案出差审批</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公共安全支出（类）法院（款）两庭建设（项）202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382</w:t>
      </w:r>
      <w:r>
        <w:rPr>
          <w:rFonts w:hint="eastAsia" w:ascii="仿宋_GB2312" w:hAnsi="黑体" w:eastAsia="仿宋_GB2312"/>
          <w:sz w:val="32"/>
          <w:szCs w:val="32"/>
        </w:rPr>
        <w:t>.00万元，比上年预算数</w:t>
      </w:r>
      <w:r>
        <w:rPr>
          <w:rFonts w:hint="eastAsia" w:ascii="仿宋_GB2312" w:hAnsi="黑体" w:eastAsia="仿宋_GB2312"/>
          <w:sz w:val="32"/>
          <w:szCs w:val="32"/>
          <w:lang w:val="en-US" w:eastAsia="zh-CN"/>
        </w:rPr>
        <w:t>减少330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降</w:t>
      </w:r>
      <w:r>
        <w:rPr>
          <w:rFonts w:hint="eastAsia" w:ascii="仿宋_GB2312" w:hAnsi="黑体" w:eastAsia="仿宋_GB2312"/>
          <w:sz w:val="32"/>
          <w:szCs w:val="32"/>
        </w:rPr>
        <w:t>幅</w:t>
      </w:r>
      <w:r>
        <w:rPr>
          <w:rFonts w:hint="eastAsia" w:ascii="仿宋_GB2312" w:hAnsi="黑体" w:eastAsia="仿宋_GB2312"/>
          <w:sz w:val="32"/>
          <w:szCs w:val="32"/>
          <w:lang w:val="en-US" w:eastAsia="zh-CN"/>
        </w:rPr>
        <w:t>46.35</w:t>
      </w:r>
      <w:r>
        <w:rPr>
          <w:rFonts w:hint="eastAsia" w:ascii="仿宋_GB2312" w:hAnsi="黑体" w:eastAsia="仿宋_GB2312"/>
          <w:sz w:val="32"/>
          <w:szCs w:val="32"/>
        </w:rPr>
        <w:t>%。主要原因为一次性项目派出法庭博鳌、八所和三亚法庭基建及配套设备政府采购预算支出</w:t>
      </w:r>
      <w:r>
        <w:rPr>
          <w:rFonts w:hint="eastAsia" w:ascii="仿宋_GB2312" w:hAnsi="黑体" w:eastAsia="仿宋_GB2312"/>
          <w:sz w:val="32"/>
          <w:szCs w:val="32"/>
          <w:lang w:val="en-US" w:eastAsia="zh-CN"/>
        </w:rPr>
        <w:t>下降</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公共安全支出（类）法院（款）其他法院支出（项）202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949.70</w:t>
      </w:r>
      <w:r>
        <w:rPr>
          <w:rFonts w:hint="eastAsia" w:ascii="仿宋_GB2312" w:hAnsi="黑体" w:eastAsia="仿宋_GB2312"/>
          <w:sz w:val="32"/>
          <w:szCs w:val="32"/>
        </w:rPr>
        <w:t>万元，比上年预算数减少</w:t>
      </w:r>
      <w:r>
        <w:rPr>
          <w:rFonts w:hint="eastAsia" w:ascii="仿宋_GB2312" w:hAnsi="黑体" w:eastAsia="仿宋_GB2312"/>
          <w:sz w:val="32"/>
          <w:szCs w:val="32"/>
          <w:lang w:val="en-US" w:eastAsia="zh-CN"/>
        </w:rPr>
        <w:t>74.65</w:t>
      </w:r>
      <w:r>
        <w:rPr>
          <w:rFonts w:hint="eastAsia" w:ascii="仿宋_GB2312" w:hAnsi="黑体" w:eastAsia="仿宋_GB2312"/>
          <w:sz w:val="32"/>
          <w:szCs w:val="32"/>
        </w:rPr>
        <w:t>万元，减幅</w:t>
      </w:r>
      <w:r>
        <w:rPr>
          <w:rFonts w:hint="eastAsia" w:ascii="仿宋_GB2312" w:hAnsi="黑体" w:eastAsia="仿宋_GB2312"/>
          <w:sz w:val="32"/>
          <w:szCs w:val="32"/>
          <w:lang w:val="en-US" w:eastAsia="zh-CN"/>
        </w:rPr>
        <w:t>7.29</w:t>
      </w:r>
      <w:r>
        <w:rPr>
          <w:rFonts w:hint="eastAsia" w:ascii="仿宋_GB2312" w:hAnsi="黑体" w:eastAsia="仿宋_GB2312"/>
          <w:sz w:val="32"/>
          <w:szCs w:val="32"/>
        </w:rPr>
        <w:t>%。主要原因</w:t>
      </w:r>
      <w:r>
        <w:rPr>
          <w:rFonts w:hint="eastAsia" w:ascii="仿宋_GB2312" w:hAnsi="黑体" w:eastAsia="仿宋_GB2312"/>
          <w:sz w:val="32"/>
          <w:szCs w:val="32"/>
          <w:lang w:eastAsia="zh-CN"/>
        </w:rPr>
        <w:t>今</w:t>
      </w:r>
      <w:r>
        <w:rPr>
          <w:rFonts w:hint="eastAsia" w:ascii="仿宋_GB2312" w:hAnsi="黑体" w:eastAsia="仿宋_GB2312"/>
          <w:sz w:val="32"/>
          <w:szCs w:val="32"/>
          <w:lang w:val="en-US" w:eastAsia="zh-CN"/>
        </w:rPr>
        <w:t>年中法大厦改造和法庭功能维修维护及配套信息化建设支出多减少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社会保障和就业支出（类）行政事业单位养老（款）机关事业单位基本养老保险缴费支出（项）202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210.41</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对</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社会保障和就业支出（类）行政事业单位养老（款）机关事业单位职业年金缴费支出（项）202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463.90</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452.40万元，</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本年开始职业年金纪实缴费，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w:t>
      </w:r>
      <w:r>
        <w:rPr>
          <w:rFonts w:hint="eastAsia" w:ascii="仿宋_GB2312" w:hAnsi="黑体" w:eastAsia="仿宋_GB2312"/>
          <w:sz w:val="32"/>
          <w:szCs w:val="32"/>
          <w:u w:val="none"/>
          <w:lang w:eastAsia="zh-CN"/>
        </w:rPr>
        <w:t>，导致本年该支出出现大幅增加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社会保障和就业支出（类）抚恤（款）其他优抚支出（项）202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年预算数为1.80万元，</w:t>
      </w:r>
      <w:r>
        <w:rPr>
          <w:rFonts w:hint="eastAsia" w:ascii="仿宋_GB2312" w:hAnsi="黑体" w:eastAsia="仿宋_GB2312"/>
          <w:sz w:val="32"/>
          <w:szCs w:val="32"/>
          <w:lang w:val="en-US" w:eastAsia="zh-CN"/>
        </w:rPr>
        <w:t>为遗嘱人员补贴预算数，与上年预算数持平。</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、卫生健康</w:t>
      </w:r>
      <w:r>
        <w:rPr>
          <w:rFonts w:hint="eastAsia" w:ascii="仿宋_GB2312" w:hAnsi="黑体" w:eastAsia="仿宋_GB2312" w:cs="仿宋_GB2312"/>
          <w:sz w:val="32"/>
          <w:szCs w:val="32"/>
        </w:rPr>
        <w:t>支出（类）行政事业单位医疗（款）行政单位医疗（项）202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99.18</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、住房改革</w:t>
      </w:r>
      <w:r>
        <w:rPr>
          <w:rFonts w:hint="eastAsia" w:ascii="仿宋_GB2312" w:hAnsi="黑体" w:eastAsia="仿宋_GB2312" w:cs="仿宋_GB2312"/>
          <w:sz w:val="32"/>
          <w:szCs w:val="32"/>
        </w:rPr>
        <w:t>支出（类）住房保障支出（款）住房公积金（项）202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157.91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27.64万元，增幅21.22%，主要原因是公积金基数调整。</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0</w:t>
      </w:r>
      <w:r>
        <w:rPr>
          <w:rFonts w:hint="eastAsia" w:ascii="仿宋_GB2312" w:hAnsi="黑体" w:eastAsia="仿宋_GB2312"/>
          <w:sz w:val="32"/>
          <w:szCs w:val="32"/>
        </w:rPr>
        <w:t>、住房改革</w:t>
      </w:r>
      <w:r>
        <w:rPr>
          <w:rFonts w:hint="eastAsia" w:ascii="仿宋_GB2312" w:hAnsi="黑体" w:eastAsia="仿宋_GB2312" w:cs="仿宋_GB2312"/>
          <w:sz w:val="32"/>
          <w:szCs w:val="32"/>
        </w:rPr>
        <w:t>支出（类）住房保障支出（款）购房补贴（项）202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3.65</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eastAsia="zh-CN"/>
        </w:rPr>
        <w:t>海口海事法院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3466.17</w:t>
      </w:r>
      <w:r>
        <w:rPr>
          <w:rFonts w:hint="eastAsia" w:ascii="仿宋_GB2312" w:hAnsi="黑体" w:eastAsia="仿宋_GB2312"/>
          <w:sz w:val="32"/>
          <w:szCs w:val="32"/>
          <w:u w:val="none"/>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2692.78</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主要包括：</w:t>
      </w:r>
      <w:r>
        <w:rPr>
          <w:rFonts w:hint="eastAsia" w:ascii="仿宋_GB2312" w:hAnsi="黑体" w:eastAsia="仿宋_GB2312"/>
          <w:sz w:val="32"/>
          <w:szCs w:val="32"/>
        </w:rPr>
        <w:t>基本工资</w:t>
      </w:r>
      <w:r>
        <w:rPr>
          <w:rFonts w:hint="eastAsia" w:ascii="仿宋_GB2312" w:hAnsi="黑体" w:eastAsia="仿宋_GB2312"/>
          <w:sz w:val="32"/>
          <w:szCs w:val="32"/>
          <w:lang w:val="en-US" w:eastAsia="zh-CN"/>
        </w:rPr>
        <w:t>472.63</w:t>
      </w:r>
      <w:r>
        <w:rPr>
          <w:rFonts w:hint="eastAsia" w:ascii="仿宋_GB2312" w:hAnsi="黑体" w:eastAsia="仿宋_GB2312"/>
          <w:sz w:val="32"/>
          <w:szCs w:val="32"/>
        </w:rPr>
        <w:t>万元、津贴补贴</w:t>
      </w:r>
      <w:r>
        <w:rPr>
          <w:rFonts w:hint="eastAsia" w:ascii="仿宋_GB2312" w:hAnsi="黑体" w:eastAsia="仿宋_GB2312"/>
          <w:sz w:val="32"/>
          <w:szCs w:val="32"/>
          <w:lang w:val="en-US" w:eastAsia="zh-CN"/>
        </w:rPr>
        <w:t>566.56</w:t>
      </w:r>
      <w:r>
        <w:rPr>
          <w:rFonts w:hint="eastAsia" w:ascii="仿宋_GB2312" w:hAnsi="黑体" w:eastAsia="仿宋_GB2312"/>
          <w:sz w:val="32"/>
          <w:szCs w:val="32"/>
        </w:rPr>
        <w:t>万元、奖金</w:t>
      </w:r>
      <w:r>
        <w:rPr>
          <w:rFonts w:hint="eastAsia" w:ascii="仿宋_GB2312" w:hAnsi="黑体" w:eastAsia="仿宋_GB2312"/>
          <w:sz w:val="32"/>
          <w:szCs w:val="32"/>
          <w:lang w:val="en-US" w:eastAsia="zh-CN"/>
        </w:rPr>
        <w:t>451.12</w:t>
      </w:r>
      <w:r>
        <w:rPr>
          <w:rFonts w:hint="eastAsia" w:ascii="仿宋_GB2312" w:hAnsi="黑体" w:eastAsia="仿宋_GB2312"/>
          <w:sz w:val="32"/>
          <w:szCs w:val="32"/>
        </w:rPr>
        <w:t>万元、社会保障缴费</w:t>
      </w:r>
      <w:r>
        <w:rPr>
          <w:rFonts w:hint="eastAsia" w:ascii="仿宋_GB2312" w:hAnsi="黑体" w:eastAsia="仿宋_GB2312"/>
          <w:sz w:val="32"/>
          <w:szCs w:val="32"/>
          <w:lang w:val="en-US" w:eastAsia="zh-CN"/>
        </w:rPr>
        <w:t>790.99</w:t>
      </w:r>
      <w:r>
        <w:rPr>
          <w:rFonts w:hint="eastAsia" w:ascii="仿宋_GB2312" w:hAnsi="黑体" w:eastAsia="仿宋_GB2312"/>
          <w:sz w:val="32"/>
          <w:szCs w:val="32"/>
        </w:rPr>
        <w:t>万元、住房公积金</w:t>
      </w:r>
      <w:r>
        <w:rPr>
          <w:rFonts w:hint="eastAsia" w:ascii="仿宋_GB2312" w:hAnsi="黑体" w:eastAsia="仿宋_GB2312"/>
          <w:sz w:val="32"/>
          <w:szCs w:val="32"/>
          <w:lang w:val="en-US" w:eastAsia="zh-CN"/>
        </w:rPr>
        <w:t>157.91</w:t>
      </w:r>
      <w:r>
        <w:rPr>
          <w:rFonts w:hint="eastAsia" w:ascii="仿宋_GB2312" w:hAnsi="黑体" w:eastAsia="仿宋_GB2312"/>
          <w:sz w:val="32"/>
          <w:szCs w:val="32"/>
        </w:rPr>
        <w:t>万</w:t>
      </w:r>
      <w:r>
        <w:rPr>
          <w:rFonts w:hint="eastAsia" w:ascii="仿宋_GB2312" w:hAnsi="黑体" w:eastAsia="仿宋_GB2312"/>
          <w:sz w:val="32"/>
          <w:szCs w:val="32"/>
          <w:lang w:val="en-US" w:eastAsia="zh-CN"/>
        </w:rPr>
        <w:t>元</w:t>
      </w:r>
      <w:r>
        <w:rPr>
          <w:rFonts w:hint="eastAsia" w:ascii="仿宋_GB2312" w:hAnsi="黑体" w:eastAsia="仿宋_GB2312"/>
          <w:sz w:val="32"/>
          <w:szCs w:val="32"/>
        </w:rPr>
        <w:t>和聘用书记员工资福利</w:t>
      </w:r>
      <w:r>
        <w:rPr>
          <w:rFonts w:hint="eastAsia" w:ascii="仿宋_GB2312" w:hAnsi="黑体" w:eastAsia="仿宋_GB2312"/>
          <w:sz w:val="32"/>
          <w:szCs w:val="32"/>
          <w:lang w:val="en-US" w:eastAsia="zh-CN"/>
        </w:rPr>
        <w:t>145.51</w:t>
      </w:r>
      <w:r>
        <w:rPr>
          <w:rFonts w:hint="eastAsia" w:ascii="仿宋_GB2312" w:hAnsi="黑体" w:eastAsia="仿宋_GB2312"/>
          <w:sz w:val="32"/>
          <w:szCs w:val="32"/>
        </w:rPr>
        <w:t>万元，</w:t>
      </w:r>
      <w:r>
        <w:rPr>
          <w:rFonts w:hint="eastAsia" w:ascii="仿宋_GB2312" w:hAnsi="黑体" w:eastAsia="仿宋_GB2312"/>
          <w:sz w:val="32"/>
          <w:szCs w:val="32"/>
          <w:lang w:eastAsia="zh-CN"/>
        </w:rPr>
        <w:t>邮电费</w:t>
      </w:r>
      <w:r>
        <w:rPr>
          <w:rFonts w:hint="eastAsia" w:ascii="仿宋_GB2312" w:hAnsi="黑体" w:eastAsia="仿宋_GB2312"/>
          <w:sz w:val="32"/>
          <w:szCs w:val="32"/>
          <w:lang w:val="en-US" w:eastAsia="zh-CN"/>
        </w:rPr>
        <w:t>16.09万元，其他交通费90.17万元和各类补</w:t>
      </w:r>
      <w:r>
        <w:rPr>
          <w:rFonts w:hint="eastAsia" w:ascii="仿宋_GB2312" w:hAnsi="黑体" w:eastAsia="仿宋_GB2312"/>
          <w:sz w:val="32"/>
          <w:szCs w:val="32"/>
          <w:highlight w:val="none"/>
          <w:lang w:val="en-US" w:eastAsia="zh-CN"/>
        </w:rPr>
        <w:t>助1.8万元</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773.38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0.20万元</w:t>
      </w:r>
      <w:r>
        <w:rPr>
          <w:rFonts w:hint="eastAsia" w:ascii="仿宋_GB2312" w:hAnsi="黑体" w:eastAsia="仿宋_GB2312"/>
          <w:sz w:val="32"/>
          <w:szCs w:val="32"/>
        </w:rPr>
        <w:t>、水电费</w:t>
      </w:r>
      <w:r>
        <w:rPr>
          <w:rFonts w:hint="eastAsia" w:ascii="仿宋_GB2312" w:hAnsi="黑体" w:eastAsia="仿宋_GB2312"/>
          <w:sz w:val="32"/>
          <w:szCs w:val="32"/>
          <w:lang w:val="en-US" w:eastAsia="zh-CN"/>
        </w:rPr>
        <w:t>153.60</w:t>
      </w:r>
      <w:r>
        <w:rPr>
          <w:rFonts w:hint="eastAsia" w:ascii="仿宋_GB2312" w:hAnsi="黑体" w:eastAsia="仿宋_GB2312"/>
          <w:sz w:val="32"/>
          <w:szCs w:val="32"/>
        </w:rPr>
        <w:t>万元、物业管理费</w:t>
      </w:r>
      <w:r>
        <w:rPr>
          <w:rFonts w:hint="eastAsia" w:ascii="仿宋_GB2312" w:hAnsi="黑体" w:eastAsia="仿宋_GB2312"/>
          <w:sz w:val="32"/>
          <w:szCs w:val="32"/>
          <w:lang w:val="en-US" w:eastAsia="zh-CN"/>
        </w:rPr>
        <w:t>269.47</w:t>
      </w:r>
      <w:r>
        <w:rPr>
          <w:rFonts w:hint="eastAsia" w:ascii="仿宋_GB2312" w:hAnsi="黑体" w:eastAsia="仿宋_GB2312"/>
          <w:sz w:val="32"/>
          <w:szCs w:val="32"/>
        </w:rPr>
        <w:t>万元、差旅费</w:t>
      </w:r>
      <w:r>
        <w:rPr>
          <w:rFonts w:hint="eastAsia" w:ascii="仿宋_GB2312" w:hAnsi="黑体" w:eastAsia="仿宋_GB2312"/>
          <w:sz w:val="32"/>
          <w:szCs w:val="32"/>
          <w:lang w:val="en-US" w:eastAsia="zh-CN"/>
        </w:rPr>
        <w:t>7.90</w:t>
      </w:r>
      <w:r>
        <w:rPr>
          <w:rFonts w:hint="eastAsia" w:ascii="仿宋_GB2312" w:hAnsi="黑体" w:eastAsia="仿宋_GB2312"/>
          <w:sz w:val="32"/>
          <w:szCs w:val="32"/>
        </w:rPr>
        <w:t>万元、维修费</w:t>
      </w:r>
      <w:r>
        <w:rPr>
          <w:rFonts w:hint="eastAsia" w:ascii="仿宋_GB2312" w:hAnsi="黑体" w:eastAsia="仿宋_GB2312"/>
          <w:sz w:val="32"/>
          <w:szCs w:val="32"/>
          <w:lang w:val="en-US" w:eastAsia="zh-CN"/>
        </w:rPr>
        <w:t>63.00</w:t>
      </w:r>
      <w:r>
        <w:rPr>
          <w:rFonts w:hint="eastAsia" w:ascii="仿宋_GB2312" w:hAnsi="黑体" w:eastAsia="仿宋_GB2312"/>
          <w:sz w:val="32"/>
          <w:szCs w:val="32"/>
        </w:rPr>
        <w:t>万元、培训费</w:t>
      </w:r>
      <w:r>
        <w:rPr>
          <w:rFonts w:hint="eastAsia" w:ascii="仿宋_GB2312" w:hAnsi="黑体" w:eastAsia="仿宋_GB2312"/>
          <w:sz w:val="32"/>
          <w:szCs w:val="32"/>
          <w:lang w:val="en-US" w:eastAsia="zh-CN"/>
        </w:rPr>
        <w:t>21.64</w:t>
      </w:r>
      <w:r>
        <w:rPr>
          <w:rFonts w:hint="eastAsia" w:ascii="仿宋_GB2312" w:hAnsi="黑体" w:eastAsia="仿宋_GB2312"/>
          <w:sz w:val="32"/>
          <w:szCs w:val="32"/>
        </w:rPr>
        <w:t>万元、劳务费</w:t>
      </w:r>
      <w:r>
        <w:rPr>
          <w:rFonts w:hint="eastAsia" w:ascii="仿宋_GB2312" w:hAnsi="黑体" w:eastAsia="仿宋_GB2312"/>
          <w:sz w:val="32"/>
          <w:szCs w:val="32"/>
          <w:lang w:val="en-US" w:eastAsia="zh-CN"/>
        </w:rPr>
        <w:t>18.00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公务用车运行维护17.85万元、</w:t>
      </w:r>
      <w:r>
        <w:rPr>
          <w:rFonts w:hint="eastAsia" w:ascii="仿宋_GB2312" w:hAnsi="黑体" w:eastAsia="仿宋_GB2312"/>
          <w:sz w:val="32"/>
          <w:szCs w:val="32"/>
        </w:rPr>
        <w:t>其他商品和支出</w:t>
      </w:r>
      <w:r>
        <w:rPr>
          <w:rFonts w:hint="eastAsia" w:ascii="仿宋_GB2312" w:hAnsi="黑体" w:eastAsia="仿宋_GB2312"/>
          <w:sz w:val="32"/>
          <w:szCs w:val="32"/>
          <w:lang w:val="en-US" w:eastAsia="zh-CN"/>
        </w:rPr>
        <w:t>139.09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及工会经费20.61万元</w:t>
      </w:r>
      <w:r>
        <w:rPr>
          <w:rFonts w:hint="eastAsia" w:ascii="仿宋_GB2312" w:hAnsi="黑体" w:eastAsia="仿宋_GB2312"/>
          <w:sz w:val="32"/>
          <w:szCs w:val="32"/>
        </w:rPr>
        <w:t>，</w:t>
      </w:r>
      <w:r>
        <w:rPr>
          <w:rFonts w:hint="eastAsia" w:ascii="仿宋_GB2312" w:hAnsi="黑体" w:eastAsia="仿宋_GB2312"/>
          <w:sz w:val="32"/>
          <w:szCs w:val="32"/>
          <w:lang w:eastAsia="zh-CN"/>
        </w:rPr>
        <w:t>其他交通费用</w:t>
      </w:r>
      <w:r>
        <w:rPr>
          <w:rFonts w:hint="eastAsia" w:ascii="仿宋_GB2312" w:hAnsi="黑体" w:eastAsia="仿宋_GB2312"/>
          <w:sz w:val="32"/>
          <w:szCs w:val="32"/>
          <w:lang w:val="en-US" w:eastAsia="zh-CN"/>
        </w:rPr>
        <w:t>10.00万元，</w:t>
      </w:r>
      <w:r>
        <w:rPr>
          <w:rFonts w:hint="eastAsia" w:ascii="仿宋_GB2312" w:hAnsi="黑体" w:eastAsia="仿宋_GB2312"/>
          <w:sz w:val="32"/>
          <w:szCs w:val="32"/>
          <w:lang w:eastAsia="zh-CN"/>
        </w:rPr>
        <w:t>救济费补助费</w:t>
      </w:r>
      <w:r>
        <w:rPr>
          <w:rFonts w:hint="eastAsia" w:ascii="仿宋_GB2312" w:hAnsi="黑体" w:eastAsia="仿宋_GB2312"/>
          <w:sz w:val="32"/>
          <w:szCs w:val="32"/>
          <w:lang w:val="en-US" w:eastAsia="zh-CN"/>
        </w:rPr>
        <w:t>17.00万元，</w:t>
      </w:r>
      <w:r>
        <w:rPr>
          <w:rFonts w:hint="eastAsia" w:ascii="仿宋_GB2312" w:hAnsi="黑体" w:eastAsia="仿宋_GB2312"/>
          <w:sz w:val="32"/>
          <w:szCs w:val="32"/>
        </w:rPr>
        <w:t>等等。</w:t>
      </w:r>
    </w:p>
    <w:p>
      <w:pPr>
        <w:ind w:firstLine="640" w:firstLineChars="200"/>
        <w:rPr>
          <w:rFonts w:hint="eastAsia" w:ascii="仿宋_GB2312" w:hAnsi="黑体" w:eastAsia="仿宋_GB2312"/>
          <w:sz w:val="32"/>
          <w:szCs w:val="32"/>
          <w:u w:val="none"/>
        </w:rPr>
      </w:pPr>
      <w:r>
        <w:rPr>
          <w:rFonts w:hint="eastAsia" w:ascii="黑体" w:hAnsi="黑体" w:eastAsia="黑体" w:cs="Times New Roman"/>
          <w:sz w:val="32"/>
          <w:u w:val="none"/>
          <w:shd w:val="clear" w:color="auto" w:fill="FFFFFF"/>
        </w:rPr>
        <w:t>四、</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2023</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47.85</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1</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shd w:val="clear" w:color="auto" w:fill="FFFFFF"/>
        </w:rPr>
        <w:t>疫情影响出国学习培训交流和调研活动减少。</w:t>
      </w:r>
      <w:r>
        <w:rPr>
          <w:rFonts w:ascii="Times New Roman" w:hAnsi="Times New Roman" w:eastAsia="仿宋_GB2312" w:cs="Times New Roman"/>
          <w:sz w:val="32"/>
          <w:shd w:val="clear" w:color="auto" w:fill="FFFFFF"/>
        </w:rPr>
        <w:t>外事部门等安排的</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ascii="Times New Roman" w:hAnsi="Times New Roman" w:eastAsia="仿宋_GB2312" w:cs="Times New Roman"/>
          <w:sz w:val="32"/>
          <w:shd w:val="clear" w:color="auto" w:fill="FFFFFF"/>
        </w:rPr>
        <w:t>年出国计划，</w:t>
      </w:r>
      <w:r>
        <w:rPr>
          <w:rFonts w:ascii="Times New Roman" w:hAnsi="Times New Roman" w:eastAsia="仿宋_GB2312" w:cs="Times New Roman"/>
          <w:sz w:val="32"/>
          <w:u w:val="none"/>
          <w:shd w:val="clear" w:color="auto" w:fill="FFFFFF"/>
        </w:rPr>
        <w:t>拟安排出国（境）</w:t>
      </w:r>
      <w:r>
        <w:rPr>
          <w:rFonts w:hint="eastAsia" w:ascii="Times New Roman" w:hAnsi="Times New Roman" w:eastAsia="仿宋_GB2312" w:cs="Times New Roman"/>
          <w:sz w:val="32"/>
          <w:u w:val="none"/>
          <w:shd w:val="clear" w:color="auto" w:fill="FFFFFF"/>
        </w:rPr>
        <w:t>团（</w:t>
      </w:r>
      <w:r>
        <w:rPr>
          <w:rFonts w:ascii="Times New Roman" w:hAnsi="Times New Roman" w:eastAsia="仿宋_GB2312" w:cs="Times New Roman"/>
          <w:sz w:val="32"/>
          <w:u w:val="none"/>
          <w:shd w:val="clear" w:color="auto" w:fill="FFFFFF"/>
        </w:rPr>
        <w:t>组</w:t>
      </w:r>
      <w:r>
        <w:rPr>
          <w:rFonts w:hint="eastAsia" w:ascii="Times New Roman" w:hAnsi="Times New Roman" w:eastAsia="仿宋_GB2312" w:cs="Times New Roman"/>
          <w:sz w:val="32"/>
          <w:u w:val="none"/>
          <w:shd w:val="clear" w:color="auto" w:fill="FFFFFF"/>
        </w:rPr>
        <w:t>）</w:t>
      </w:r>
      <w:r>
        <w:rPr>
          <w:rFonts w:hint="eastAsia" w:ascii="仿宋_GB2312" w:hAnsi="黑体" w:eastAsia="仿宋_GB2312" w:cs="仿宋_GB2312"/>
          <w:sz w:val="32"/>
          <w:szCs w:val="32"/>
          <w:u w:val="none"/>
          <w:lang w:val="en-US" w:eastAsia="zh-CN"/>
        </w:rPr>
        <w:t>0</w:t>
      </w:r>
      <w:r>
        <w:rPr>
          <w:rFonts w:ascii="Times New Roman" w:hAnsi="Times New Roman" w:eastAsia="仿宋_GB2312" w:cs="Times New Roman"/>
          <w:sz w:val="32"/>
          <w:u w:val="none"/>
          <w:shd w:val="clear" w:color="auto" w:fill="FFFFFF"/>
        </w:rPr>
        <w:t>次，出国（境）</w:t>
      </w:r>
      <w:r>
        <w:rPr>
          <w:rFonts w:hint="eastAsia" w:ascii="仿宋_GB2312" w:hAnsi="黑体" w:eastAsia="仿宋_GB2312" w:cs="仿宋_GB2312"/>
          <w:sz w:val="32"/>
          <w:szCs w:val="32"/>
          <w:u w:val="none"/>
          <w:lang w:val="en-US" w:eastAsia="zh-CN"/>
        </w:rPr>
        <w:t>0</w:t>
      </w:r>
      <w:r>
        <w:rPr>
          <w:rFonts w:ascii="Times New Roman" w:hAnsi="Times New Roman" w:eastAsia="仿宋_GB2312" w:cs="Times New Roman"/>
          <w:sz w:val="32"/>
          <w:u w:val="none"/>
          <w:shd w:val="clear" w:color="auto" w:fill="FFFFFF"/>
        </w:rPr>
        <w:t>人</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32.85</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32.85</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31.35</w:t>
      </w:r>
      <w:r>
        <w:rPr>
          <w:rFonts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sz w:val="32"/>
          <w:u w:val="none"/>
          <w:shd w:val="clear" w:color="auto" w:fill="FFFFFF"/>
          <w:lang w:val="en-US" w:eastAsia="zh-CN"/>
        </w:rPr>
        <w:t>2022年公车保有量10辆，特种车2辆，2022年已报废3辆，2023年计划购置3辆电车，相比2022年，可降低车辆维修成本和燃料费。2023年</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辆，特种车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，计划购置</w:t>
      </w:r>
      <w:r>
        <w:rPr>
          <w:rFonts w:hint="eastAsia" w:ascii="仿宋_GB2312" w:hAnsi="黑体" w:eastAsia="仿宋_GB2312" w:cs="仿宋_GB2312"/>
          <w:sz w:val="32"/>
          <w:szCs w:val="32"/>
          <w:lang w:val="en-US" w:eastAsia="zh-CN"/>
        </w:rPr>
        <w:t>3辆电车</w:t>
      </w:r>
      <w:r>
        <w:rPr>
          <w:rFonts w:hint="eastAsia" w:ascii="Times New Roman" w:hAnsi="Times New Roman" w:eastAsia="仿宋_GB2312" w:cs="Times New Roman"/>
          <w:sz w:val="32"/>
          <w:u w:val="none"/>
          <w:shd w:val="clear" w:color="auto" w:fill="FFFFFF"/>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lang w:val="en-US" w:eastAsia="zh-CN"/>
        </w:rPr>
        <w:t>接待主要</w:t>
      </w:r>
      <w:r>
        <w:rPr>
          <w:rFonts w:hint="eastAsia" w:ascii="Times New Roman" w:hAnsi="Times New Roman" w:eastAsia="仿宋_GB2312" w:cs="Times New Roman"/>
          <w:sz w:val="32"/>
        </w:rPr>
        <w:t>为紧跟海南自由贸易港建设新形势</w:t>
      </w:r>
      <w:r>
        <w:rPr>
          <w:rFonts w:hint="eastAsia" w:ascii="Times New Roman" w:hAnsi="Times New Roman" w:eastAsia="仿宋_GB2312" w:cs="Times New Roman"/>
          <w:sz w:val="32"/>
          <w:shd w:val="clear" w:color="auto" w:fill="FFFFFF"/>
        </w:rPr>
        <w:t>，加快构建与国家法律体系相配套、与国际惯例相接轨、与自由贸易港建设相适应的海事司法体系，增强海事</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三合一”司法改革</w:t>
      </w:r>
      <w:r>
        <w:rPr>
          <w:rFonts w:hint="eastAsia" w:ascii="Times New Roman" w:hAnsi="Times New Roman" w:eastAsia="仿宋_GB2312" w:cs="Times New Roman"/>
          <w:sz w:val="32"/>
          <w:shd w:val="clear" w:color="auto" w:fill="FFFFFF"/>
        </w:rPr>
        <w:t>审执业务经验做法</w:t>
      </w:r>
      <w:r>
        <w:rPr>
          <w:rFonts w:hint="eastAsia" w:ascii="Times New Roman" w:hAnsi="Times New Roman" w:eastAsia="仿宋_GB2312" w:cs="Times New Roman"/>
          <w:sz w:val="32"/>
          <w:shd w:val="clear" w:color="auto" w:fill="FFFFFF"/>
          <w:lang w:val="en-US" w:eastAsia="zh-CN"/>
        </w:rPr>
        <w:t>等</w:t>
      </w:r>
      <w:r>
        <w:rPr>
          <w:rFonts w:hint="eastAsia" w:ascii="Times New Roman" w:hAnsi="Times New Roman" w:eastAsia="仿宋_GB2312" w:cs="Times New Roman"/>
          <w:sz w:val="32"/>
          <w:shd w:val="clear" w:color="auto" w:fill="FFFFFF"/>
        </w:rPr>
        <w:t>交流研讨。计划接待</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150</w:t>
      </w:r>
      <w:r>
        <w:rPr>
          <w:rFonts w:hint="eastAsia" w:ascii="仿宋_GB2312" w:hAnsi="黑体" w:eastAsia="仿宋_GB2312" w:cs="仿宋_GB2312"/>
          <w:sz w:val="32"/>
          <w:szCs w:val="32"/>
        </w:rPr>
        <w:t>人次</w:t>
      </w:r>
      <w:r>
        <w:rPr>
          <w:rFonts w:hint="eastAsia" w:ascii="Times New Roman" w:hAnsi="Times New Roman" w:eastAsia="仿宋_GB2312" w:cs="Times New Roman"/>
          <w:sz w:val="32"/>
          <w:shd w:val="clear" w:color="auto" w:fill="FFFFFF"/>
        </w:rPr>
        <w:t>。</w:t>
      </w:r>
    </w:p>
    <w:p>
      <w:pPr>
        <w:numPr>
          <w:ilvl w:val="0"/>
          <w:numId w:val="6"/>
        </w:numPr>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p>
    <w:p>
      <w:pPr>
        <w:numPr>
          <w:ilvl w:val="0"/>
          <w:numId w:val="0"/>
        </w:numPr>
        <w:rPr>
          <w:rFonts w:hint="default" w:ascii="仿宋_GB2312" w:hAnsi="黑体" w:eastAsia="仿宋_GB2312"/>
          <w:sz w:val="32"/>
          <w:szCs w:val="32"/>
          <w:u w:val="none"/>
          <w:lang w:val="en-US" w:eastAsia="zh-CN"/>
        </w:rPr>
      </w:pPr>
      <w:r>
        <w:rPr>
          <w:rFonts w:hint="eastAsia" w:ascii="仿宋_GB2312" w:hAnsi="黑体" w:eastAsia="仿宋_GB2312"/>
          <w:sz w:val="32"/>
          <w:szCs w:val="32"/>
          <w:u w:val="none"/>
          <w:lang w:val="en-US" w:eastAsia="zh-CN"/>
        </w:rPr>
        <w:t xml:space="preserve">    我院无政府性基金预算</w:t>
      </w:r>
      <w:r>
        <w:rPr>
          <w:rFonts w:hint="eastAsia" w:ascii="仿宋_GB2312" w:hAnsi="黑体" w:eastAsia="仿宋_GB2312"/>
          <w:sz w:val="32"/>
          <w:szCs w:val="32"/>
          <w:u w:val="none"/>
        </w:rPr>
        <w:t>“三公”</w:t>
      </w:r>
      <w:r>
        <w:rPr>
          <w:rFonts w:hint="eastAsia" w:ascii="仿宋_GB2312" w:hAnsi="黑体" w:eastAsia="仿宋_GB2312"/>
          <w:sz w:val="32"/>
          <w:szCs w:val="32"/>
          <w:u w:val="none"/>
          <w:lang w:val="en-US" w:eastAsia="zh-CN"/>
        </w:rPr>
        <w:t>经费支出。</w:t>
      </w:r>
    </w:p>
    <w:p>
      <w:pPr>
        <w:numPr>
          <w:ilvl w:val="0"/>
          <w:numId w:val="7"/>
        </w:numPr>
        <w:ind w:firstLine="640" w:firstLineChars="200"/>
        <w:rPr>
          <w:rFonts w:hint="eastAsia"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关于</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2023</w:t>
      </w:r>
      <w:r>
        <w:rPr>
          <w:rFonts w:hint="eastAsia" w:ascii="黑体" w:hAnsi="黑体" w:eastAsia="黑体" w:cs="Times New Roman"/>
          <w:sz w:val="32"/>
          <w:u w:val="none"/>
          <w:shd w:val="clear" w:color="auto" w:fill="FFFFFF"/>
        </w:rPr>
        <w:t>年政府性基金预算当年拨款情况说明</w:t>
      </w:r>
    </w:p>
    <w:p>
      <w:pPr>
        <w:numPr>
          <w:ilvl w:val="0"/>
          <w:numId w:val="0"/>
        </w:numPr>
        <w:rPr>
          <w:rFonts w:hint="default" w:ascii="黑体" w:hAnsi="黑体" w:eastAsia="黑体" w:cs="Times New Roman"/>
          <w:sz w:val="32"/>
          <w:u w:val="none"/>
          <w:shd w:val="clear" w:color="auto" w:fill="FFFFFF"/>
          <w:lang w:val="en-US" w:eastAsia="zh-CN"/>
        </w:rPr>
      </w:pPr>
      <w:r>
        <w:rPr>
          <w:rFonts w:hint="eastAsia" w:ascii="黑体" w:hAnsi="黑体" w:eastAsia="黑体" w:cs="Times New Roman"/>
          <w:sz w:val="32"/>
          <w:u w:val="none"/>
          <w:shd w:val="clear" w:color="auto" w:fill="FFFFFF"/>
          <w:lang w:val="en-US" w:eastAsia="zh-CN"/>
        </w:rPr>
        <w:t xml:space="preserve">    </w:t>
      </w: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无政府性基金预算。</w:t>
      </w:r>
    </w:p>
    <w:p>
      <w:pPr>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本部门无。</w:t>
      </w:r>
    </w:p>
    <w:p>
      <w:pPr>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本部门无。</w:t>
      </w:r>
    </w:p>
    <w:p>
      <w:pPr>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本部门无。</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按照综合预算原则，海口海事法院所有收入和支出均纳入部门预算管理。收入包括：一般公共预算收入和上年结转</w:t>
      </w:r>
      <w:r>
        <w:rPr>
          <w:rFonts w:hint="eastAsia" w:ascii="仿宋_GB2312" w:hAnsi="黑体" w:eastAsia="仿宋_GB2312"/>
          <w:sz w:val="32"/>
          <w:szCs w:val="32"/>
        </w:rPr>
        <w:t>；支出包括：公共安全支出、社会保障和就业支出、卫生健康支出、住房保障支出。</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5192.37</w:t>
      </w:r>
      <w:r>
        <w:rPr>
          <w:rFonts w:hint="eastAsia" w:ascii="仿宋_GB2312" w:hAnsi="黑体" w:eastAsia="仿宋_GB2312"/>
          <w:sz w:val="32"/>
          <w:szCs w:val="32"/>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5192.37</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54.01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1.04</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5138.37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98.96</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增加86.58</w:t>
      </w:r>
      <w:r>
        <w:rPr>
          <w:rFonts w:hint="eastAsia" w:ascii="仿宋_GB2312" w:hAnsi="黑体" w:eastAsia="仿宋_GB2312"/>
          <w:sz w:val="32"/>
          <w:szCs w:val="32"/>
        </w:rPr>
        <w:t>万元，主要原因是</w:t>
      </w:r>
      <w:r>
        <w:rPr>
          <w:rFonts w:hint="eastAsia" w:ascii="仿宋_GB2312" w:hAnsi="黑体" w:eastAsia="仿宋_GB2312"/>
          <w:sz w:val="32"/>
          <w:szCs w:val="32"/>
          <w:u w:val="none"/>
          <w:lang w:eastAsia="zh-CN"/>
        </w:rPr>
        <w:t>本年开始职业年金纪实缴费，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5192.37</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3466.16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66.75</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1726.21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33.25</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增加86.58</w:t>
      </w:r>
      <w:r>
        <w:rPr>
          <w:rFonts w:hint="eastAsia" w:ascii="仿宋_GB2312" w:hAnsi="黑体" w:eastAsia="仿宋_GB2312"/>
          <w:sz w:val="32"/>
          <w:szCs w:val="32"/>
        </w:rPr>
        <w:t>万元，主要是在收支平衡情况下，</w:t>
      </w:r>
      <w:r>
        <w:rPr>
          <w:rFonts w:hint="eastAsia" w:ascii="仿宋_GB2312" w:hAnsi="黑体" w:eastAsia="仿宋_GB2312"/>
          <w:sz w:val="32"/>
          <w:szCs w:val="32"/>
          <w:u w:val="none"/>
          <w:lang w:eastAsia="zh-CN"/>
        </w:rPr>
        <w:t>本年开始职业年金纪实缴费，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年海口海事法院</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773.38</w:t>
      </w:r>
      <w:r>
        <w:rPr>
          <w:rFonts w:hint="eastAsia" w:ascii="仿宋_GB2312" w:hAnsi="黑体" w:eastAsia="仿宋_GB2312"/>
          <w:sz w:val="32"/>
          <w:szCs w:val="32"/>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2023年海口海事法院</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925.80</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756</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142</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27.8</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2022</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eastAsia="zh-CN"/>
        </w:rPr>
        <w:t>海口海事法院</w:t>
      </w:r>
      <w:r>
        <w:rPr>
          <w:rFonts w:hint="eastAsia" w:ascii="仿宋_GB2312" w:hAnsi="黑体" w:eastAsia="仿宋_GB2312" w:cs="仿宋_GB2312"/>
          <w:sz w:val="32"/>
          <w:szCs w:val="32"/>
          <w:u w:val="none"/>
        </w:rPr>
        <w:t>本级及下属各预算单位共有车辆</w:t>
      </w:r>
      <w:r>
        <w:rPr>
          <w:rFonts w:hint="eastAsia" w:ascii="仿宋_GB2312" w:hAnsi="黑体" w:eastAsia="仿宋_GB2312" w:cs="仿宋_GB2312"/>
          <w:sz w:val="32"/>
          <w:szCs w:val="32"/>
          <w:u w:val="none"/>
          <w:lang w:val="en-US" w:eastAsia="zh-CN"/>
        </w:rPr>
        <w:t>9</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绩效目标设置情况</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sz w:val="32"/>
          <w:szCs w:val="32"/>
          <w:u w:val="none"/>
          <w:lang w:val="en-US" w:eastAsia="zh-CN"/>
        </w:rPr>
        <w:t>2023年海口海事法院24</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5138.36</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，我院无重点项目预算绩效。</w:t>
      </w:r>
    </w:p>
    <w:p>
      <w:pPr>
        <w:numPr>
          <w:ilvl w:val="0"/>
          <w:numId w:val="8"/>
        </w:num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重点项目预算的绩效评价</w:t>
      </w:r>
    </w:p>
    <w:p>
      <w:pPr>
        <w:pStyle w:val="11"/>
        <w:keepNext w:val="0"/>
        <w:keepLines w:val="0"/>
        <w:widowControl/>
        <w:suppressLineNumbers w:val="0"/>
        <w:autoSpaceDE w:val="0"/>
        <w:autoSpaceDN/>
        <w:spacing w:before="0" w:beforeAutospacing="0" w:after="0" w:afterAutospacing="0" w:line="360" w:lineRule="auto"/>
        <w:ind w:right="0" w:rightChars="0" w:firstLine="600" w:firstLineChars="200"/>
        <w:jc w:val="left"/>
        <w:rPr>
          <w:rFonts w:hint="eastAsia" w:ascii="华文仿宋" w:hAnsi="华文仿宋" w:eastAsia="华文仿宋" w:cs="华文仿宋"/>
          <w:kern w:val="0"/>
          <w:sz w:val="30"/>
          <w:szCs w:val="30"/>
          <w:lang w:eastAsia="zh-CN"/>
        </w:rPr>
      </w:pPr>
      <w:r>
        <w:rPr>
          <w:rFonts w:hint="eastAsia" w:ascii="华文仿宋" w:hAnsi="华文仿宋" w:eastAsia="华文仿宋" w:cs="华文仿宋"/>
          <w:kern w:val="0"/>
          <w:sz w:val="30"/>
          <w:szCs w:val="30"/>
          <w:lang w:val="en-US" w:eastAsia="zh-CN"/>
        </w:rPr>
        <w:t>2023年海口海事法院无重点项目。选取预算金额为301万的博鳌、八所和三亚法庭大楼信息一体化建设做项目评价。</w:t>
      </w:r>
      <w:r>
        <w:rPr>
          <w:rFonts w:hint="default" w:ascii="华文仿宋" w:hAnsi="华文仿宋" w:eastAsia="华文仿宋" w:cs="华文仿宋"/>
          <w:kern w:val="0"/>
          <w:sz w:val="30"/>
          <w:szCs w:val="30"/>
        </w:rPr>
        <w:t>总体目标：依据最高院关于智慧法院建设精神指示，加强智能信息化建设是司法改革的助推器，也是司法服务窗口前移手段之一。司法为民，公正司法，让人民群众在每一个司法案件中感受公平正义</w:t>
      </w:r>
      <w:r>
        <w:rPr>
          <w:rFonts w:hint="eastAsia" w:ascii="华文仿宋" w:hAnsi="华文仿宋" w:eastAsia="华文仿宋" w:cs="华文仿宋"/>
          <w:kern w:val="0"/>
          <w:sz w:val="30"/>
          <w:szCs w:val="30"/>
          <w:lang w:eastAsia="zh-CN"/>
        </w:rPr>
        <w:t>。</w:t>
      </w:r>
    </w:p>
    <w:p>
      <w:pPr>
        <w:pStyle w:val="11"/>
        <w:keepNext w:val="0"/>
        <w:keepLines w:val="0"/>
        <w:widowControl/>
        <w:suppressLineNumbers w:val="0"/>
        <w:autoSpaceDE w:val="0"/>
        <w:autoSpaceDN/>
        <w:spacing w:before="0" w:beforeAutospacing="0" w:after="0" w:afterAutospacing="0" w:line="360" w:lineRule="auto"/>
        <w:ind w:left="0" w:leftChars="0" w:right="0" w:rightChars="0" w:firstLine="516"/>
        <w:jc w:val="left"/>
        <w:rPr>
          <w:rFonts w:hint="eastAsia" w:ascii="华文仿宋" w:hAnsi="华文仿宋" w:eastAsia="华文仿宋" w:cs="华文仿宋"/>
          <w:kern w:val="0"/>
          <w:sz w:val="30"/>
          <w:szCs w:val="30"/>
          <w:lang w:eastAsia="zh-CN"/>
        </w:rPr>
      </w:pPr>
      <w:r>
        <w:rPr>
          <w:rFonts w:hint="default" w:ascii="华文仿宋" w:hAnsi="华文仿宋" w:eastAsia="华文仿宋" w:cs="华文仿宋"/>
          <w:kern w:val="0"/>
          <w:sz w:val="30"/>
          <w:szCs w:val="30"/>
        </w:rPr>
        <w:t>202</w:t>
      </w:r>
      <w:r>
        <w:rPr>
          <w:rFonts w:hint="eastAsia" w:ascii="华文仿宋" w:hAnsi="华文仿宋" w:eastAsia="华文仿宋" w:cs="华文仿宋"/>
          <w:kern w:val="0"/>
          <w:sz w:val="30"/>
          <w:szCs w:val="30"/>
          <w:lang w:val="en-US" w:eastAsia="zh-CN"/>
        </w:rPr>
        <w:t>2</w:t>
      </w:r>
      <w:r>
        <w:rPr>
          <w:rFonts w:hint="default" w:ascii="华文仿宋" w:hAnsi="华文仿宋" w:eastAsia="华文仿宋" w:cs="华文仿宋"/>
          <w:kern w:val="0"/>
          <w:sz w:val="30"/>
          <w:szCs w:val="30"/>
        </w:rPr>
        <w:t>年年度目标是</w:t>
      </w:r>
      <w:r>
        <w:rPr>
          <w:rFonts w:hint="eastAsia" w:ascii="华文仿宋" w:hAnsi="华文仿宋" w:eastAsia="华文仿宋" w:cs="华文仿宋"/>
          <w:kern w:val="0"/>
          <w:sz w:val="30"/>
          <w:szCs w:val="30"/>
          <w:lang w:eastAsia="zh-CN"/>
        </w:rPr>
        <w:t>项目基本建成，</w:t>
      </w:r>
      <w:r>
        <w:rPr>
          <w:rFonts w:hint="default" w:ascii="华文仿宋" w:hAnsi="华文仿宋" w:eastAsia="华文仿宋" w:cs="华文仿宋"/>
          <w:kern w:val="0"/>
          <w:sz w:val="30"/>
          <w:szCs w:val="30"/>
        </w:rPr>
        <w:t>综合利用现代化音视频技术、数字技术、计算机多媒体技术、网络技术、智能控制技术等，这些高科技的运用为办公人员迅速、准确、直观地提供、发布和传输各种信息，提高领导决策的准确性和科学性，从而大大提高办公管理的工作效率。</w:t>
      </w:r>
      <w:bookmarkStart w:id="0" w:name="_GoBack"/>
      <w:bookmarkEnd w:id="0"/>
      <w:r>
        <w:rPr>
          <w:rFonts w:hint="default" w:ascii="华文仿宋" w:hAnsi="华文仿宋" w:eastAsia="华文仿宋" w:cs="华文仿宋"/>
          <w:kern w:val="0"/>
          <w:sz w:val="30"/>
          <w:szCs w:val="30"/>
        </w:rPr>
        <w:t>系统信息化建设是审判执行职能现代化的坚实基础，</w:t>
      </w:r>
      <w:r>
        <w:rPr>
          <w:rFonts w:hint="eastAsia" w:ascii="华文仿宋" w:hAnsi="华文仿宋" w:eastAsia="华文仿宋" w:cs="华文仿宋"/>
          <w:kern w:val="0"/>
          <w:sz w:val="30"/>
          <w:szCs w:val="30"/>
          <w:lang w:eastAsia="zh-CN"/>
        </w:rPr>
        <w:t>通过信息化技术辅助</w:t>
      </w:r>
      <w:r>
        <w:rPr>
          <w:rFonts w:hint="default" w:ascii="华文仿宋" w:hAnsi="华文仿宋" w:eastAsia="华文仿宋" w:cs="华文仿宋"/>
          <w:kern w:val="0"/>
          <w:sz w:val="30"/>
          <w:szCs w:val="30"/>
        </w:rPr>
        <w:t>高效率审判执行</w:t>
      </w:r>
      <w:r>
        <w:rPr>
          <w:rFonts w:hint="eastAsia" w:ascii="华文仿宋" w:hAnsi="华文仿宋" w:eastAsia="华文仿宋" w:cs="华文仿宋"/>
          <w:kern w:val="0"/>
          <w:sz w:val="30"/>
          <w:szCs w:val="30"/>
          <w:lang w:eastAsia="zh-CN"/>
        </w:rPr>
        <w:t>，</w:t>
      </w:r>
      <w:r>
        <w:rPr>
          <w:rFonts w:hint="default" w:ascii="华文仿宋" w:hAnsi="华文仿宋" w:eastAsia="华文仿宋" w:cs="华文仿宋"/>
          <w:kern w:val="0"/>
          <w:sz w:val="30"/>
          <w:szCs w:val="30"/>
        </w:rPr>
        <w:t>本信息化建设项目</w:t>
      </w:r>
      <w:r>
        <w:rPr>
          <w:rFonts w:hint="eastAsia" w:ascii="华文仿宋" w:hAnsi="华文仿宋" w:eastAsia="华文仿宋" w:cs="华文仿宋"/>
          <w:kern w:val="0"/>
          <w:sz w:val="30"/>
          <w:szCs w:val="30"/>
          <w:lang w:eastAsia="zh-CN"/>
        </w:rPr>
        <w:t>。</w:t>
      </w:r>
    </w:p>
    <w:p>
      <w:pPr>
        <w:numPr>
          <w:numId w:val="0"/>
        </w:numPr>
        <w:rPr>
          <w:rFonts w:hint="default" w:ascii="楷体" w:hAnsi="楷体" w:eastAsia="楷体"/>
          <w:sz w:val="32"/>
          <w:szCs w:val="32"/>
          <w:lang w:val="en-US" w:eastAsia="zh-CN"/>
        </w:rPr>
      </w:pP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hint="eastAsia" w:ascii="仿宋_GB2312" w:hAnsi="ˎ̥" w:eastAsia="仿宋_GB2312"/>
          <w:sz w:val="32"/>
          <w:szCs w:val="32"/>
        </w:rPr>
        <w:t>公共安全支出(类)法院(款)行政运行(项)：指法院用于保障机构正常运行、开展日常工作的基本支出。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ˎ̥" w:eastAsia="仿宋_GB2312"/>
          <w:sz w:val="32"/>
          <w:szCs w:val="32"/>
        </w:rPr>
        <w:t>公共安全支出(类)法院(款)案件审判(项):指</w:t>
      </w:r>
      <w:r>
        <w:rPr>
          <w:rFonts w:hint="eastAsia" w:ascii="仿宋_GB2312" w:hAnsi="宋体" w:eastAsia="仿宋_GB2312" w:cs="宋体"/>
          <w:color w:val="000000"/>
          <w:kern w:val="0"/>
          <w:sz w:val="32"/>
          <w:szCs w:val="30"/>
        </w:rPr>
        <w:t>反映人民法院对刑事、民事、行政、涉外等案件审判活动的支出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七</w:t>
      </w:r>
      <w:r>
        <w:rPr>
          <w:rFonts w:hint="eastAsia" w:ascii="仿宋_GB2312" w:hAnsi="ˎ̥" w:eastAsia="仿宋_GB2312"/>
          <w:sz w:val="32"/>
          <w:szCs w:val="32"/>
        </w:rPr>
        <w:t>、公共安全支出(类)法院(款)案件执行(项)：指用于案件执行、押解等有关执行方面的支出。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八</w:t>
      </w:r>
      <w:r>
        <w:rPr>
          <w:rFonts w:hint="eastAsia" w:ascii="仿宋_GB2312" w:hAnsi="ˎ̥" w:eastAsia="仿宋_GB2312"/>
          <w:sz w:val="32"/>
          <w:szCs w:val="32"/>
        </w:rPr>
        <w:t>、公共安全支出(类)法院(款)其他法院支出(项)：</w:t>
      </w:r>
      <w:r>
        <w:rPr>
          <w:rFonts w:hint="eastAsia" w:ascii="仿宋_GB2312" w:hAnsi="宋体" w:eastAsia="仿宋_GB2312" w:cs="宋体"/>
          <w:color w:val="000000"/>
          <w:kern w:val="0"/>
          <w:sz w:val="32"/>
          <w:szCs w:val="30"/>
        </w:rPr>
        <w:t>指反映除上述项目以外其他拥有法院方面的支出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九</w:t>
      </w:r>
      <w:r>
        <w:rPr>
          <w:rFonts w:hint="eastAsia" w:ascii="仿宋_GB2312" w:hAnsi="ˎ̥" w:eastAsia="仿宋_GB2312"/>
          <w:sz w:val="32"/>
          <w:szCs w:val="32"/>
        </w:rPr>
        <w:t>、社保保障和就业支出(类)行政事业单位离退休(款)机关事业单位基本养老保险缴纳支出(项)：</w:t>
      </w:r>
      <w:r>
        <w:rPr>
          <w:rFonts w:hint="eastAsia" w:ascii="仿宋_GB2312" w:hAnsi="宋体" w:eastAsia="仿宋_GB2312" w:cs="宋体"/>
          <w:color w:val="000000"/>
          <w:kern w:val="0"/>
          <w:sz w:val="32"/>
          <w:szCs w:val="30"/>
        </w:rPr>
        <w:t>指反映机关事业单位实施养老保险制度由单位缴纳的基本养老保险费支出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二十</w:t>
      </w:r>
      <w:r>
        <w:rPr>
          <w:rFonts w:hint="eastAsia" w:ascii="仿宋_GB2312" w:hAnsi="ˎ̥" w:eastAsia="仿宋_GB2312"/>
          <w:sz w:val="32"/>
          <w:szCs w:val="32"/>
        </w:rPr>
        <w:t>、社保保障和就业支出(类)优抚(款)其他优抚支出(项)：</w:t>
      </w:r>
      <w:r>
        <w:rPr>
          <w:rFonts w:hint="eastAsia" w:ascii="仿宋_GB2312" w:hAnsi="宋体" w:eastAsia="仿宋_GB2312" w:cs="宋体"/>
          <w:color w:val="000000"/>
          <w:kern w:val="0"/>
          <w:sz w:val="32"/>
          <w:szCs w:val="30"/>
        </w:rPr>
        <w:t>是除上述项目以外（义务兵优待、农村籍退役士兵老年生活补助、死亡抚恤、伤残抚恤、在乡复员、退伍军人生活补助）其他用于优抚方面的支出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w:t>
      </w:r>
      <w:r>
        <w:rPr>
          <w:rFonts w:hint="eastAsia" w:ascii="仿宋_GB2312" w:hAnsi="ˎ̥" w:eastAsia="仿宋_GB2312"/>
          <w:sz w:val="32"/>
          <w:szCs w:val="32"/>
          <w:lang w:eastAsia="zh-CN"/>
        </w:rPr>
        <w:t>一</w:t>
      </w:r>
      <w:r>
        <w:rPr>
          <w:rFonts w:hint="eastAsia" w:ascii="仿宋_GB2312" w:hAnsi="ˎ̥" w:eastAsia="仿宋_GB2312"/>
          <w:sz w:val="32"/>
          <w:szCs w:val="32"/>
        </w:rPr>
        <w:t>、卫生健康支出(类)行政事业单位医疗(款)行政单位医疗（项）：</w:t>
      </w:r>
      <w:r>
        <w:rPr>
          <w:rFonts w:hint="eastAsia" w:ascii="仿宋_GB2312" w:hAnsi="宋体" w:eastAsia="仿宋_GB2312" w:cs="宋体"/>
          <w:color w:val="000000"/>
          <w:kern w:val="0"/>
          <w:sz w:val="32"/>
          <w:szCs w:val="30"/>
        </w:rPr>
        <w:t>指反映财政部门集中安排的行政单位基本医疗保险缴费经费，未参加医疗保险的行政单位的公费医疗经费，按国家规定享受离休人员、红军战士待遇人员的医疗经费</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w:t>
      </w:r>
      <w:r>
        <w:rPr>
          <w:rFonts w:hint="eastAsia" w:ascii="仿宋_GB2312" w:hAnsi="ˎ̥" w:eastAsia="仿宋_GB2312"/>
          <w:sz w:val="32"/>
          <w:szCs w:val="32"/>
          <w:lang w:eastAsia="zh-CN"/>
        </w:rPr>
        <w:t>二</w:t>
      </w:r>
      <w:r>
        <w:rPr>
          <w:rFonts w:hint="eastAsia" w:ascii="仿宋_GB2312" w:hAnsi="ˎ̥" w:eastAsia="仿宋_GB2312"/>
          <w:sz w:val="32"/>
          <w:szCs w:val="32"/>
        </w:rPr>
        <w:t>、卫生健康支出(类)行政事业单位医疗(款)公务员医疗补助（项）：指在职人员公务员医疗补助单位负担部分的支出。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w:t>
      </w:r>
      <w:r>
        <w:rPr>
          <w:rFonts w:hint="eastAsia" w:ascii="仿宋_GB2312" w:hAnsi="ˎ̥" w:eastAsia="仿宋_GB2312"/>
          <w:sz w:val="32"/>
          <w:szCs w:val="32"/>
          <w:lang w:eastAsia="zh-CN"/>
        </w:rPr>
        <w:t>三</w:t>
      </w:r>
      <w:r>
        <w:rPr>
          <w:rFonts w:hint="eastAsia" w:ascii="仿宋_GB2312" w:hAnsi="ˎ̥" w:eastAsia="仿宋_GB2312"/>
          <w:sz w:val="32"/>
          <w:szCs w:val="32"/>
        </w:rPr>
        <w:t>、住房保障支出(类)住房改革支出(款)住房公积金(项)：</w:t>
      </w:r>
      <w:r>
        <w:rPr>
          <w:rFonts w:hint="eastAsia" w:ascii="仿宋_GB2312" w:hAnsi="宋体" w:eastAsia="仿宋_GB2312" w:cs="宋体"/>
          <w:color w:val="000000"/>
          <w:kern w:val="0"/>
          <w:sz w:val="32"/>
          <w:szCs w:val="30"/>
        </w:rPr>
        <w:t>指反映行政事业单位按人力资源和社会保障部、财政部规定的基本工资和津贴补贴以及规定比例为职工缴纳的住房公积金</w:t>
      </w:r>
      <w:r>
        <w:rPr>
          <w:rFonts w:hint="eastAsia" w:ascii="仿宋_GB2312" w:hAnsi="ˎ̥" w:eastAsia="仿宋_GB2312"/>
          <w:sz w:val="32"/>
          <w:szCs w:val="32"/>
        </w:rPr>
        <w:t>。</w:t>
      </w:r>
    </w:p>
    <w:p>
      <w:pPr>
        <w:ind w:firstLine="640" w:firstLineChars="200"/>
        <w:jc w:val="left"/>
        <w:rPr>
          <w:rFonts w:hint="eastAsia" w:ascii="仿宋_GB2312" w:hAnsi="宋体" w:eastAsia="仿宋_GB2312" w:cs="宋体"/>
          <w:color w:val="000000"/>
          <w:kern w:val="0"/>
          <w:sz w:val="32"/>
          <w:szCs w:val="30"/>
          <w:u w:val="none"/>
        </w:rPr>
      </w:pP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EA49B"/>
    <w:multiLevelType w:val="singleLevel"/>
    <w:tmpl w:val="F07EA49B"/>
    <w:lvl w:ilvl="0" w:tentative="0">
      <w:start w:val="5"/>
      <w:numFmt w:val="chineseCounting"/>
      <w:suff w:val="nothing"/>
      <w:lvlText w:val="（%1）"/>
      <w:lvlJc w:val="left"/>
      <w:rPr>
        <w:rFonts w:hint="eastAsia"/>
      </w:rPr>
    </w:lvl>
  </w:abstractNum>
  <w:abstractNum w:abstractNumId="1">
    <w:nsid w:val="F4EBD97F"/>
    <w:multiLevelType w:val="singleLevel"/>
    <w:tmpl w:val="F4EBD97F"/>
    <w:lvl w:ilvl="0" w:tentative="0">
      <w:start w:val="2"/>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748CC2"/>
    <w:multiLevelType w:val="singleLevel"/>
    <w:tmpl w:val="5C748CC2"/>
    <w:lvl w:ilvl="0" w:tentative="0">
      <w:start w:val="5"/>
      <w:numFmt w:val="chineseCounting"/>
      <w:suff w:val="nothing"/>
      <w:lvlText w:val="%1、"/>
      <w:lvlJc w:val="left"/>
      <w:rPr>
        <w:rFonts w:hint="eastAsia"/>
      </w:r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AxMGU1OWMxNjVmNWQ1YmFhYTA1MDJlZmQxMWQ2OTIifQ=="/>
  </w:docVars>
  <w:rsids>
    <w:rsidRoot w:val="00000000"/>
    <w:rsid w:val="013F225B"/>
    <w:rsid w:val="01486688"/>
    <w:rsid w:val="01FA5A7C"/>
    <w:rsid w:val="0275526A"/>
    <w:rsid w:val="02F31B72"/>
    <w:rsid w:val="04E51E30"/>
    <w:rsid w:val="05D115FE"/>
    <w:rsid w:val="073109EA"/>
    <w:rsid w:val="07561529"/>
    <w:rsid w:val="0A3A39B6"/>
    <w:rsid w:val="0BD3164D"/>
    <w:rsid w:val="14B93AA3"/>
    <w:rsid w:val="15947312"/>
    <w:rsid w:val="159F701E"/>
    <w:rsid w:val="170612FD"/>
    <w:rsid w:val="18352807"/>
    <w:rsid w:val="1DD404EA"/>
    <w:rsid w:val="1E7D1FC8"/>
    <w:rsid w:val="1EA14520"/>
    <w:rsid w:val="229637A2"/>
    <w:rsid w:val="23082C09"/>
    <w:rsid w:val="2366423B"/>
    <w:rsid w:val="26BE2F2E"/>
    <w:rsid w:val="29CC0E03"/>
    <w:rsid w:val="29D350FF"/>
    <w:rsid w:val="2CFFD3C3"/>
    <w:rsid w:val="2DB36CB3"/>
    <w:rsid w:val="2E746D92"/>
    <w:rsid w:val="30062562"/>
    <w:rsid w:val="30113064"/>
    <w:rsid w:val="303F77E1"/>
    <w:rsid w:val="30B4346D"/>
    <w:rsid w:val="32260D63"/>
    <w:rsid w:val="3259561C"/>
    <w:rsid w:val="330565BA"/>
    <w:rsid w:val="35827FC9"/>
    <w:rsid w:val="37DF1B78"/>
    <w:rsid w:val="37E13E30"/>
    <w:rsid w:val="3D250C67"/>
    <w:rsid w:val="407B4D53"/>
    <w:rsid w:val="43883618"/>
    <w:rsid w:val="43F859D9"/>
    <w:rsid w:val="44932B31"/>
    <w:rsid w:val="46C10102"/>
    <w:rsid w:val="48EA65AF"/>
    <w:rsid w:val="4B450ED2"/>
    <w:rsid w:val="4B476E44"/>
    <w:rsid w:val="4BC16606"/>
    <w:rsid w:val="4BEE0A0B"/>
    <w:rsid w:val="4C833066"/>
    <w:rsid w:val="4DB43EB0"/>
    <w:rsid w:val="521476C3"/>
    <w:rsid w:val="522E6073"/>
    <w:rsid w:val="52E44701"/>
    <w:rsid w:val="538E1380"/>
    <w:rsid w:val="551C5270"/>
    <w:rsid w:val="55C50E93"/>
    <w:rsid w:val="561C03C7"/>
    <w:rsid w:val="57BA419C"/>
    <w:rsid w:val="57D85E56"/>
    <w:rsid w:val="583953AD"/>
    <w:rsid w:val="588A48F5"/>
    <w:rsid w:val="59562ABC"/>
    <w:rsid w:val="5C556980"/>
    <w:rsid w:val="5F41403A"/>
    <w:rsid w:val="608643FF"/>
    <w:rsid w:val="63BE5A9B"/>
    <w:rsid w:val="63E4577F"/>
    <w:rsid w:val="646508F3"/>
    <w:rsid w:val="66F555DF"/>
    <w:rsid w:val="678730AC"/>
    <w:rsid w:val="67C03C10"/>
    <w:rsid w:val="680F5787"/>
    <w:rsid w:val="6E741CD0"/>
    <w:rsid w:val="6F7F457A"/>
    <w:rsid w:val="6FDB1131"/>
    <w:rsid w:val="70B33012"/>
    <w:rsid w:val="73CF45A9"/>
    <w:rsid w:val="74DF36AE"/>
    <w:rsid w:val="7533709A"/>
    <w:rsid w:val="75C6115D"/>
    <w:rsid w:val="77A476E0"/>
    <w:rsid w:val="7AAA3CF0"/>
    <w:rsid w:val="7BF736D2"/>
    <w:rsid w:val="7D6E5DED"/>
    <w:rsid w:val="7EFDD520"/>
    <w:rsid w:val="7F3A3DD0"/>
    <w:rsid w:val="7FFFDC33"/>
    <w:rsid w:val="ABBF3834"/>
    <w:rsid w:val="D97F626E"/>
    <w:rsid w:val="EF4F270F"/>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rFonts w:ascii="Times New Roman" w:hAnsi="Times New Roman" w:cs="Times New Roman"/>
      <w:kern w:val="0"/>
      <w:szCs w:val="21"/>
    </w:rPr>
  </w:style>
  <w:style w:type="paragraph" w:customStyle="1" w:styleId="11">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5170</Words>
  <Characters>5799</Characters>
  <Lines>27</Lines>
  <Paragraphs>7</Paragraphs>
  <TotalTime>0</TotalTime>
  <ScaleCrop>false</ScaleCrop>
  <LinksUpToDate>false</LinksUpToDate>
  <CharactersWithSpaces>5831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2017-02-05T23:31:00Z</dcterms:created>
  <dc:creator>null,null,总收发</dc:creator>
  <cp:lastModifiedBy>小猪</cp:lastModifiedBy>
  <dcterms:modified xsi:type="dcterms:W3CDTF">2023-07-25T02:18:48Z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A20C00CF69D648FDB3F4963D13F24098_12</vt:lpwstr>
  </property>
</Properties>
</file>